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4132" w14:textId="77777777" w:rsidR="0005585D" w:rsidRDefault="0005585D" w:rsidP="00EA07E6">
      <w:pPr>
        <w:spacing w:after="0" w:line="240" w:lineRule="auto"/>
        <w:jc w:val="center"/>
        <w:rPr>
          <w:rFonts w:ascii="Century Gothic" w:eastAsia="Arial" w:hAnsi="Century Gothic" w:cs="Arial"/>
          <w:b/>
          <w:lang w:val="es-ES_tradnl"/>
        </w:rPr>
      </w:pPr>
    </w:p>
    <w:p w14:paraId="5CB1A66A" w14:textId="77777777" w:rsidR="00EA07E6" w:rsidRDefault="001C443E" w:rsidP="00EA07E6">
      <w:pPr>
        <w:spacing w:after="0" w:line="240" w:lineRule="auto"/>
        <w:jc w:val="center"/>
        <w:rPr>
          <w:rFonts w:ascii="Century Gothic" w:eastAsia="Century Gothic" w:hAnsi="Century Gothic" w:cs="Century Gothic"/>
          <w:b/>
          <w:color w:val="000000" w:themeColor="text1"/>
        </w:rPr>
      </w:pPr>
      <w:r w:rsidRPr="00EA07E6">
        <w:rPr>
          <w:rFonts w:ascii="Century Gothic" w:eastAsia="Arial" w:hAnsi="Century Gothic" w:cs="Arial"/>
          <w:b/>
          <w:lang w:val="es-ES_tradnl"/>
        </w:rPr>
        <w:t>TEXTO APROBADO EN LA COMISIÓN PRIMERA DE LA HONORABLE CAMARA DE REPRESENTANTES EN PRIMER DEBATE</w:t>
      </w:r>
      <w:r w:rsidR="00EA07E6" w:rsidRPr="00EA07E6">
        <w:rPr>
          <w:rFonts w:ascii="Century Gothic" w:eastAsia="Arial" w:hAnsi="Century Gothic" w:cs="Arial"/>
          <w:b/>
          <w:lang w:val="es-ES_tradnl"/>
        </w:rPr>
        <w:t xml:space="preserve"> </w:t>
      </w:r>
      <w:r w:rsidR="00A75565" w:rsidRPr="00EA07E6">
        <w:rPr>
          <w:rFonts w:ascii="Century Gothic" w:eastAsia="Century Gothic" w:hAnsi="Century Gothic" w:cs="Century Gothic"/>
          <w:b/>
          <w:color w:val="000000" w:themeColor="text1"/>
        </w:rPr>
        <w:t>AL</w:t>
      </w:r>
    </w:p>
    <w:p w14:paraId="7259B188" w14:textId="311A262E" w:rsidR="00A75565" w:rsidRPr="00EA07E6" w:rsidRDefault="00A75565" w:rsidP="00EA07E6">
      <w:pPr>
        <w:spacing w:after="0" w:line="240" w:lineRule="auto"/>
        <w:jc w:val="center"/>
        <w:rPr>
          <w:rFonts w:ascii="Century Gothic" w:eastAsia="Century Gothic" w:hAnsi="Century Gothic" w:cs="Century Gothic"/>
          <w:b/>
          <w:color w:val="000000" w:themeColor="text1"/>
        </w:rPr>
      </w:pPr>
      <w:r w:rsidRPr="00EA07E6">
        <w:rPr>
          <w:rFonts w:ascii="Century Gothic" w:eastAsia="Century Gothic" w:hAnsi="Century Gothic" w:cs="Century Gothic"/>
          <w:b/>
          <w:color w:val="000000" w:themeColor="text1"/>
        </w:rPr>
        <w:t xml:space="preserve"> </w:t>
      </w:r>
      <w:r w:rsidRPr="00EA07E6">
        <w:rPr>
          <w:rFonts w:ascii="Century Gothic" w:eastAsia="Century Gothic" w:hAnsi="Century Gothic" w:cs="Century Gothic"/>
          <w:b/>
        </w:rPr>
        <w:t xml:space="preserve">PROYECTO DE LEY ESTATUTARIA </w:t>
      </w:r>
      <w:r w:rsidR="00EA07E6">
        <w:rPr>
          <w:rFonts w:ascii="Century Gothic" w:eastAsia="Century Gothic" w:hAnsi="Century Gothic" w:cs="Century Gothic"/>
          <w:b/>
        </w:rPr>
        <w:t xml:space="preserve">No. </w:t>
      </w:r>
      <w:r w:rsidR="00275203">
        <w:rPr>
          <w:rFonts w:ascii="Century Gothic" w:eastAsia="Century Gothic" w:hAnsi="Century Gothic" w:cs="Century Gothic"/>
          <w:b/>
        </w:rPr>
        <w:t xml:space="preserve">096 </w:t>
      </w:r>
      <w:r w:rsidRPr="00EA07E6">
        <w:rPr>
          <w:rFonts w:ascii="Century Gothic" w:eastAsia="Century Gothic" w:hAnsi="Century Gothic" w:cs="Century Gothic"/>
          <w:b/>
        </w:rPr>
        <w:t xml:space="preserve">DE 2021 CÁMARA </w:t>
      </w:r>
      <w:r w:rsidRPr="00EA07E6">
        <w:rPr>
          <w:rFonts w:ascii="Century Gothic" w:eastAsia="Times New Roman" w:hAnsi="Century Gothic" w:cs="Segoe UI"/>
          <w:b/>
        </w:rPr>
        <w:t>“POR MEDIO DE LA CUAL SE PROMUEVE EL ACCESO A LA EDUCACIÓN SUPERIOR PÚBLICA GRATUITA A LAS PERSONAS EN CONDICIONES DE DISCAPACIDAD”</w:t>
      </w:r>
    </w:p>
    <w:p w14:paraId="75FC9AAD" w14:textId="77777777" w:rsidR="00A75565" w:rsidRDefault="00A75565" w:rsidP="00A75565">
      <w:pPr>
        <w:spacing w:line="240" w:lineRule="auto"/>
        <w:jc w:val="center"/>
        <w:textAlignment w:val="baseline"/>
        <w:rPr>
          <w:rFonts w:ascii="Century Gothic" w:eastAsia="Times New Roman" w:hAnsi="Century Gothic" w:cs="Segoe UI"/>
        </w:rPr>
      </w:pPr>
    </w:p>
    <w:p w14:paraId="29BB5C64" w14:textId="77777777" w:rsidR="0005585D" w:rsidRPr="00EA07E6" w:rsidRDefault="0005585D" w:rsidP="00A75565">
      <w:pPr>
        <w:spacing w:line="240" w:lineRule="auto"/>
        <w:jc w:val="center"/>
        <w:textAlignment w:val="baseline"/>
        <w:rPr>
          <w:rFonts w:ascii="Century Gothic" w:eastAsia="Times New Roman" w:hAnsi="Century Gothic" w:cs="Segoe UI"/>
        </w:rPr>
      </w:pPr>
    </w:p>
    <w:p w14:paraId="76C6CAD1" w14:textId="77777777" w:rsidR="00A75565" w:rsidRPr="00EA07E6" w:rsidRDefault="00A75565" w:rsidP="00A75565">
      <w:pPr>
        <w:spacing w:line="240" w:lineRule="auto"/>
        <w:jc w:val="center"/>
        <w:textAlignment w:val="baseline"/>
        <w:rPr>
          <w:rFonts w:ascii="Century Gothic" w:eastAsia="Times New Roman" w:hAnsi="Century Gothic" w:cs="Segoe UI"/>
          <w:b/>
          <w:bCs/>
        </w:rPr>
      </w:pPr>
      <w:r w:rsidRPr="00EA07E6">
        <w:rPr>
          <w:rFonts w:ascii="Century Gothic" w:eastAsia="Times New Roman" w:hAnsi="Century Gothic" w:cs="Segoe UI"/>
          <w:b/>
          <w:bCs/>
        </w:rPr>
        <w:t>EL CONGRESO DE COLOMBIA</w:t>
      </w:r>
    </w:p>
    <w:p w14:paraId="435FAA63" w14:textId="77777777" w:rsidR="00A75565" w:rsidRPr="00EA07E6" w:rsidRDefault="00A75565" w:rsidP="00A75565">
      <w:pPr>
        <w:spacing w:line="240" w:lineRule="auto"/>
        <w:jc w:val="center"/>
        <w:textAlignment w:val="baseline"/>
        <w:rPr>
          <w:rFonts w:ascii="Century Gothic" w:eastAsia="Times New Roman" w:hAnsi="Century Gothic" w:cs="Segoe UI"/>
          <w:b/>
          <w:bCs/>
        </w:rPr>
      </w:pPr>
    </w:p>
    <w:p w14:paraId="4818788C" w14:textId="77777777" w:rsidR="00A75565" w:rsidRPr="00EA07E6" w:rsidRDefault="00A75565" w:rsidP="00A75565">
      <w:pPr>
        <w:spacing w:line="240" w:lineRule="auto"/>
        <w:jc w:val="center"/>
        <w:textAlignment w:val="baseline"/>
        <w:rPr>
          <w:rFonts w:ascii="Century Gothic" w:eastAsia="Times New Roman" w:hAnsi="Century Gothic" w:cs="Segoe UI"/>
          <w:b/>
          <w:bCs/>
        </w:rPr>
      </w:pPr>
      <w:r w:rsidRPr="00EA07E6">
        <w:rPr>
          <w:rFonts w:ascii="Century Gothic" w:eastAsia="Times New Roman" w:hAnsi="Century Gothic" w:cs="Segoe UI"/>
          <w:b/>
          <w:bCs/>
        </w:rPr>
        <w:t>DECRETA</w:t>
      </w:r>
      <w:r w:rsidRPr="00EA07E6">
        <w:rPr>
          <w:rFonts w:ascii="Century Gothic" w:eastAsia="Times New Roman" w:hAnsi="Century Gothic" w:cs="Segoe UI"/>
        </w:rPr>
        <w:t>:</w:t>
      </w:r>
    </w:p>
    <w:p w14:paraId="6DD571DE" w14:textId="77777777" w:rsidR="00A75565" w:rsidRPr="00EA07E6" w:rsidRDefault="00A75565" w:rsidP="00A75565">
      <w:pPr>
        <w:spacing w:line="240" w:lineRule="auto"/>
        <w:jc w:val="both"/>
        <w:textAlignment w:val="baseline"/>
        <w:rPr>
          <w:rFonts w:ascii="Century Gothic" w:hAnsi="Century Gothic"/>
          <w:b/>
        </w:rPr>
      </w:pPr>
      <w:r w:rsidRPr="00EA07E6">
        <w:rPr>
          <w:rFonts w:ascii="Century Gothic" w:eastAsia="Times New Roman" w:hAnsi="Century Gothic" w:cs="Segoe UI"/>
        </w:rPr>
        <w:t> </w:t>
      </w:r>
    </w:p>
    <w:p w14:paraId="1174E85F" w14:textId="5C66EA4E" w:rsidR="00040AC1" w:rsidRDefault="00E529CC" w:rsidP="00A75565">
      <w:pPr>
        <w:jc w:val="both"/>
        <w:rPr>
          <w:rFonts w:ascii="Century Gothic" w:hAnsi="Century Gothic"/>
        </w:rPr>
      </w:pPr>
      <w:r>
        <w:rPr>
          <w:rFonts w:ascii="Century Gothic" w:hAnsi="Century Gothic"/>
          <w:b/>
        </w:rPr>
        <w:t xml:space="preserve">ARTÍCULO 1°. </w:t>
      </w:r>
      <w:r w:rsidR="00040AC1" w:rsidRPr="00AF5978">
        <w:rPr>
          <w:rFonts w:ascii="Century Gothic" w:hAnsi="Century Gothic"/>
          <w:b/>
        </w:rPr>
        <w:t xml:space="preserve">Educación Inclusiva: </w:t>
      </w:r>
      <w:r w:rsidR="00040AC1">
        <w:rPr>
          <w:rFonts w:ascii="Century Gothic" w:hAnsi="Century Gothic"/>
        </w:rPr>
        <w:t xml:space="preserve">Con el objeto de asegurar el cumplimiento de lo dispuesto en el Artículo 24 de la Ley 1346 de 2009 y en el Artículo 11 de la Ley 1618 de 2013 deberán ser </w:t>
      </w:r>
      <w:r w:rsidR="00A75565" w:rsidRPr="00EA07E6">
        <w:rPr>
          <w:rFonts w:ascii="Century Gothic" w:hAnsi="Century Gothic"/>
        </w:rPr>
        <w:t xml:space="preserve">objeto de </w:t>
      </w:r>
      <w:r w:rsidR="00040AC1">
        <w:rPr>
          <w:rFonts w:ascii="Century Gothic" w:hAnsi="Century Gothic"/>
        </w:rPr>
        <w:t xml:space="preserve">esta Ley </w:t>
      </w:r>
      <w:r w:rsidR="00A75565" w:rsidRPr="00EA07E6">
        <w:rPr>
          <w:rFonts w:ascii="Century Gothic" w:hAnsi="Century Gothic"/>
        </w:rPr>
        <w:t xml:space="preserve">las personas con </w:t>
      </w:r>
      <w:r w:rsidR="00040AC1">
        <w:rPr>
          <w:rFonts w:ascii="Century Gothic" w:hAnsi="Century Gothic"/>
        </w:rPr>
        <w:t xml:space="preserve">las </w:t>
      </w:r>
      <w:r w:rsidR="00A75565" w:rsidRPr="00EA07E6">
        <w:rPr>
          <w:rFonts w:ascii="Century Gothic" w:hAnsi="Century Gothic"/>
        </w:rPr>
        <w:t xml:space="preserve">siguientes </w:t>
      </w:r>
      <w:r w:rsidR="00040AC1">
        <w:rPr>
          <w:rFonts w:ascii="Century Gothic" w:hAnsi="Century Gothic"/>
        </w:rPr>
        <w:t>condiciones de discapacidad:</w:t>
      </w:r>
    </w:p>
    <w:p w14:paraId="1761B0F6" w14:textId="274EA19E" w:rsidR="00A75565" w:rsidRPr="00EA07E6" w:rsidRDefault="00A75565" w:rsidP="00A75565">
      <w:pPr>
        <w:jc w:val="both"/>
        <w:rPr>
          <w:rFonts w:ascii="Century Gothic" w:hAnsi="Century Gothic"/>
        </w:rPr>
      </w:pPr>
      <w:r w:rsidRPr="00EA07E6">
        <w:rPr>
          <w:rFonts w:ascii="Century Gothic" w:hAnsi="Century Gothic"/>
        </w:rPr>
        <w:t xml:space="preserve">1. Limitación o disfunción auditiva. </w:t>
      </w:r>
    </w:p>
    <w:p w14:paraId="23512336" w14:textId="77777777" w:rsidR="00A75565" w:rsidRPr="00EA07E6" w:rsidRDefault="00A75565" w:rsidP="00A75565">
      <w:pPr>
        <w:jc w:val="both"/>
        <w:rPr>
          <w:rFonts w:ascii="Century Gothic" w:hAnsi="Century Gothic"/>
        </w:rPr>
      </w:pPr>
      <w:r w:rsidRPr="00EA07E6">
        <w:rPr>
          <w:rFonts w:ascii="Century Gothic" w:hAnsi="Century Gothic"/>
        </w:rPr>
        <w:t xml:space="preserve">2. Pérdida parcial o completa de la visión. </w:t>
      </w:r>
    </w:p>
    <w:p w14:paraId="47B5D418" w14:textId="77777777" w:rsidR="00A75565" w:rsidRPr="00EA07E6" w:rsidRDefault="00A75565" w:rsidP="00A75565">
      <w:pPr>
        <w:jc w:val="both"/>
        <w:rPr>
          <w:rFonts w:ascii="Century Gothic" w:hAnsi="Century Gothic"/>
        </w:rPr>
      </w:pPr>
      <w:r w:rsidRPr="00EA07E6">
        <w:rPr>
          <w:rFonts w:ascii="Century Gothic" w:hAnsi="Century Gothic"/>
        </w:rPr>
        <w:t xml:space="preserve">3. Limitaciones de movilidad y/o personas en condición de movilidad reducida. </w:t>
      </w:r>
    </w:p>
    <w:p w14:paraId="1AE9FF9F" w14:textId="77777777" w:rsidR="00A75565" w:rsidRPr="00EA07E6" w:rsidRDefault="00A75565" w:rsidP="00A75565">
      <w:pPr>
        <w:jc w:val="both"/>
        <w:rPr>
          <w:rFonts w:ascii="Century Gothic" w:hAnsi="Century Gothic"/>
        </w:rPr>
      </w:pPr>
      <w:r w:rsidRPr="00EA07E6">
        <w:rPr>
          <w:rFonts w:ascii="Century Gothic" w:hAnsi="Century Gothic"/>
        </w:rPr>
        <w:t xml:space="preserve">4. Las discapacidades múltiples entendidas como la presencia combinada de varias discapacidades de nivel intelectual, auditivo, visual y motor, parálisis cerebral, epilepsia, escoliosis, autismo, hidrocefalia, y problemas conductuales. </w:t>
      </w:r>
    </w:p>
    <w:p w14:paraId="07C2F370" w14:textId="77777777" w:rsidR="00A75565" w:rsidRPr="00EA07E6" w:rsidRDefault="00A75565" w:rsidP="00A75565">
      <w:pPr>
        <w:jc w:val="both"/>
        <w:rPr>
          <w:rFonts w:ascii="Century Gothic" w:hAnsi="Century Gothic"/>
        </w:rPr>
      </w:pPr>
      <w:r w:rsidRPr="00EA07E6">
        <w:rPr>
          <w:rFonts w:ascii="Century Gothic" w:hAnsi="Century Gothic"/>
        </w:rPr>
        <w:t>5. Problemas Específicos aprendizaje.</w:t>
      </w:r>
    </w:p>
    <w:p w14:paraId="5D01D00D" w14:textId="77777777" w:rsidR="00A75565" w:rsidRPr="00EA07E6" w:rsidRDefault="00A75565" w:rsidP="00A75565">
      <w:pPr>
        <w:jc w:val="both"/>
        <w:rPr>
          <w:rFonts w:ascii="Century Gothic" w:hAnsi="Century Gothic"/>
          <w:b/>
        </w:rPr>
      </w:pPr>
    </w:p>
    <w:p w14:paraId="29975DB0" w14:textId="77777777" w:rsidR="00A75565" w:rsidRPr="00EA07E6" w:rsidRDefault="00A75565" w:rsidP="00A75565">
      <w:pPr>
        <w:jc w:val="both"/>
        <w:rPr>
          <w:rFonts w:ascii="Century Gothic" w:hAnsi="Century Gothic"/>
        </w:rPr>
      </w:pPr>
      <w:r w:rsidRPr="00EA07E6">
        <w:rPr>
          <w:rFonts w:ascii="Century Gothic" w:hAnsi="Century Gothic"/>
          <w:b/>
        </w:rPr>
        <w:t xml:space="preserve">ARTICULO 2º. </w:t>
      </w:r>
      <w:r w:rsidRPr="00EA07E6">
        <w:rPr>
          <w:rFonts w:ascii="Century Gothic" w:hAnsi="Century Gothic"/>
        </w:rPr>
        <w:t>Modifíquese el Artículo 11 de la Ley 1618 de 2013, el cual quedará así:</w:t>
      </w:r>
    </w:p>
    <w:p w14:paraId="1292BE4D" w14:textId="77777777" w:rsidR="00A75565" w:rsidRPr="00EA07E6" w:rsidRDefault="00A75565" w:rsidP="00A75565">
      <w:pPr>
        <w:jc w:val="both"/>
        <w:rPr>
          <w:rFonts w:ascii="Century Gothic" w:hAnsi="Century Gothic"/>
        </w:rPr>
      </w:pPr>
      <w:r w:rsidRPr="00EA07E6">
        <w:rPr>
          <w:rFonts w:ascii="Century Gothic" w:hAnsi="Century Gothic"/>
          <w:b/>
        </w:rPr>
        <w:t xml:space="preserve">ARTÍCULO 11. DERECHO A LA EDUCACIÓN. </w:t>
      </w:r>
      <w:r w:rsidRPr="00EA07E6">
        <w:rPr>
          <w:rFonts w:ascii="Century Gothic" w:hAnsi="Century Gothic"/>
        </w:rPr>
        <w:t>El Ministerio de Educación Nacional definirá la política y reglamentará el esquema de atención educativa a la población con necesidades educativas especiales,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w:t>
      </w:r>
    </w:p>
    <w:p w14:paraId="38916ECC" w14:textId="77777777" w:rsidR="00A75565" w:rsidRPr="00EA07E6" w:rsidRDefault="00A75565" w:rsidP="00A75565">
      <w:pPr>
        <w:jc w:val="both"/>
        <w:rPr>
          <w:rFonts w:ascii="Century Gothic" w:hAnsi="Century Gothic"/>
        </w:rPr>
      </w:pPr>
      <w:r w:rsidRPr="00EA07E6">
        <w:rPr>
          <w:rFonts w:ascii="Century Gothic" w:hAnsi="Century Gothic"/>
        </w:rPr>
        <w:lastRenderedPageBreak/>
        <w:t>1. En consecuencia, el Ministerio de Educación deberá, en lo concerniente a la educación preescolar básica, media y superior Pública en las modalidades de Formación Técnica Profesional, Tecnológica y Superior pública.</w:t>
      </w:r>
    </w:p>
    <w:p w14:paraId="43D754A0" w14:textId="77777777" w:rsidR="00A75565" w:rsidRPr="00EA07E6" w:rsidRDefault="00A75565" w:rsidP="00A75565">
      <w:pPr>
        <w:jc w:val="both"/>
        <w:rPr>
          <w:rFonts w:ascii="Century Gothic" w:hAnsi="Century Gothic"/>
        </w:rPr>
      </w:pPr>
      <w:r w:rsidRPr="00EA07E6">
        <w:rPr>
          <w:rFonts w:ascii="Century Gothic" w:hAnsi="Century Gothic"/>
        </w:rPr>
        <w:t>a) Crear y promover una cultura de respeto a la diversidad desde la perspectiva de los niños, niñas, jóvenes y adultos con necesidades educativas especiales, como sujetos de derecho, específicamente su reconocimiento e integración en los establecimientos educativos oficiales y privados e instituciones de educación superior;</w:t>
      </w:r>
    </w:p>
    <w:p w14:paraId="57D6F1F4" w14:textId="77777777" w:rsidR="00A75565" w:rsidRPr="00EA07E6" w:rsidRDefault="00A75565" w:rsidP="00A75565">
      <w:pPr>
        <w:jc w:val="both"/>
        <w:rPr>
          <w:rFonts w:ascii="Century Gothic" w:hAnsi="Century Gothic"/>
        </w:rPr>
      </w:pPr>
      <w:r w:rsidRPr="00EA07E6">
        <w:rPr>
          <w:rFonts w:ascii="Century Gothic" w:hAnsi="Century Gothic"/>
        </w:rPr>
        <w:t xml:space="preserve">b) Garantizar el derecho de los niños, niñas, jóvenes y adultos con necesidades educativas especiales 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14:paraId="4A1728FE" w14:textId="77777777" w:rsidR="00A75565" w:rsidRPr="00EA07E6" w:rsidRDefault="00A75565" w:rsidP="00A75565">
      <w:pPr>
        <w:jc w:val="both"/>
        <w:rPr>
          <w:rFonts w:ascii="Century Gothic" w:hAnsi="Century Gothic"/>
        </w:rPr>
      </w:pPr>
      <w:r w:rsidRPr="00EA07E6">
        <w:rPr>
          <w:rFonts w:ascii="Century Gothic" w:hAnsi="Century Gothic"/>
        </w:rPr>
        <w:t xml:space="preserve">c) Definir el concepto de acceso y permanencia educativa con calidad para las personas con discapacidad, y los lineamientos en el marco de la inclusión; </w:t>
      </w:r>
    </w:p>
    <w:p w14:paraId="267BA5CC" w14:textId="77777777" w:rsidR="00A75565" w:rsidRPr="00EA07E6" w:rsidRDefault="00A75565" w:rsidP="00A75565">
      <w:pPr>
        <w:jc w:val="both"/>
        <w:rPr>
          <w:rFonts w:ascii="Century Gothic" w:hAnsi="Century Gothic"/>
        </w:rPr>
      </w:pPr>
      <w:r w:rsidRPr="00EA07E6">
        <w:rPr>
          <w:rFonts w:ascii="Century Gothic" w:hAnsi="Century Gothic"/>
        </w:rPr>
        <w:t xml:space="preserve">d) Garantizar la asignación de recursos para la atención educativa a las personas con discapacidad y/o con condiciones de educación especial, de conformidad con lo establecido por la o las normas que lo sustituyan; </w:t>
      </w:r>
    </w:p>
    <w:p w14:paraId="04744256" w14:textId="77777777" w:rsidR="00A75565" w:rsidRPr="00EA07E6" w:rsidRDefault="00A75565" w:rsidP="00A75565">
      <w:pPr>
        <w:jc w:val="both"/>
        <w:rPr>
          <w:rFonts w:ascii="Century Gothic" w:hAnsi="Century Gothic"/>
        </w:rPr>
      </w:pPr>
      <w:r w:rsidRPr="00EA07E6">
        <w:rPr>
          <w:rFonts w:ascii="Century Gothic" w:hAnsi="Century Gothic"/>
        </w:rPr>
        <w:t xml:space="preserve">e) En el marco de la Comisión Intersectorial para la Atención Integral a la Primera Infancia, desarrollar Programas de Atención Integral a la Primera Infancia (AIPI) que promuevan la inclusión, así como los pertinentes procesos de detección, intervención y apoyos pedagógicos relacionados con el desarrollo de los niños y las niñas. En este marco, se deben promover programas de educación temprana que tengan como objetivo desarrollar las habilidades de los niños y niñas con discapacidad en edad preescolar, de acuerdo con sus necesidades específicas; </w:t>
      </w:r>
    </w:p>
    <w:p w14:paraId="512FBAB9" w14:textId="77777777" w:rsidR="00A75565" w:rsidRPr="00EA07E6" w:rsidRDefault="00A75565" w:rsidP="00A75565">
      <w:pPr>
        <w:jc w:val="both"/>
        <w:rPr>
          <w:rFonts w:ascii="Century Gothic" w:hAnsi="Century Gothic"/>
        </w:rPr>
      </w:pPr>
      <w:r w:rsidRPr="00EA07E6">
        <w:rPr>
          <w:rFonts w:ascii="Century Gothic" w:hAnsi="Century Gothic"/>
        </w:rPr>
        <w:t xml:space="preserve">f) Diseñar en el término de dos (2) años a partir de la entrada en vigencia de la presente Ley un programa intersectorial de desarrollo y asistencia para las familias de los niños, niñas, adolescentes y jóvenes con discapacidad; </w:t>
      </w:r>
    </w:p>
    <w:p w14:paraId="40438534" w14:textId="77777777" w:rsidR="00A75565" w:rsidRPr="00EA07E6" w:rsidRDefault="00A75565" w:rsidP="00A75565">
      <w:pPr>
        <w:jc w:val="both"/>
        <w:rPr>
          <w:rFonts w:ascii="Century Gothic" w:hAnsi="Century Gothic"/>
        </w:rPr>
      </w:pPr>
      <w:r w:rsidRPr="00EA07E6">
        <w:rPr>
          <w:rFonts w:ascii="Century Gothic" w:hAnsi="Century Gothic"/>
        </w:rPr>
        <w:t xml:space="preserve">g) Acompañar a las entidades territoriales certificadas para la implementación de las estrategias para el acceso y la permanencia educativa con calidad para las personas con discapacidad, en el marco de la inclusión, tanto para las personas en edad escolar, como para los adultos; </w:t>
      </w:r>
    </w:p>
    <w:p w14:paraId="0A322440" w14:textId="77777777" w:rsidR="00A75565" w:rsidRPr="00EA07E6" w:rsidRDefault="00A75565" w:rsidP="00A75565">
      <w:pPr>
        <w:jc w:val="both"/>
        <w:rPr>
          <w:rFonts w:ascii="Century Gothic" w:hAnsi="Century Gothic"/>
        </w:rPr>
      </w:pPr>
      <w:r w:rsidRPr="00EA07E6">
        <w:rPr>
          <w:rFonts w:ascii="Century Gothic" w:hAnsi="Century Gothic"/>
        </w:rPr>
        <w:t xml:space="preserve">h) Realizar seguimiento a la implementación de las estrategias para el acceso y la permanencia educativa con calidad para las personas con discapacidad y/o con condición de educación especial, en el marco de la inclusión, tanto para las personas en edad escolar, como para los adultos. </w:t>
      </w:r>
    </w:p>
    <w:p w14:paraId="40A5518A" w14:textId="77777777" w:rsidR="00A75565" w:rsidRPr="00EA07E6" w:rsidRDefault="00A75565" w:rsidP="00A75565">
      <w:pPr>
        <w:jc w:val="both"/>
        <w:rPr>
          <w:rFonts w:ascii="Century Gothic" w:hAnsi="Century Gothic"/>
        </w:rPr>
      </w:pPr>
    </w:p>
    <w:p w14:paraId="2135EE01" w14:textId="77777777" w:rsidR="00A75565" w:rsidRPr="00EA07E6" w:rsidRDefault="00A75565" w:rsidP="00A75565">
      <w:pPr>
        <w:jc w:val="both"/>
        <w:rPr>
          <w:rFonts w:ascii="Century Gothic" w:hAnsi="Century Gothic"/>
        </w:rPr>
      </w:pPr>
      <w:r w:rsidRPr="00EA07E6">
        <w:rPr>
          <w:rFonts w:ascii="Century Gothic" w:hAnsi="Century Gothic"/>
        </w:rPr>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5240418C" w14:textId="77777777" w:rsidR="00A75565" w:rsidRPr="00EA07E6" w:rsidRDefault="00A75565" w:rsidP="00A75565">
      <w:pPr>
        <w:jc w:val="both"/>
        <w:rPr>
          <w:rFonts w:ascii="Century Gothic" w:hAnsi="Century Gothic"/>
        </w:rPr>
      </w:pPr>
      <w:r w:rsidRPr="00EA07E6">
        <w:rPr>
          <w:rFonts w:ascii="Century Gothic" w:hAnsi="Century Gothic"/>
        </w:rPr>
        <w:t xml:space="preserve">j) Incluir dentro del programa nacional de alfabetización metas claras para la reducción del analfabetismo de jóvenes, adultas y adultos con discapacidad y/o con condición de educación especial, para garantizar su inclusión, teniendo presente la importancia que tiene para la educación de los niños y las niñas que padres y madres sepan leer y escribir; </w:t>
      </w:r>
    </w:p>
    <w:p w14:paraId="7E233FAA" w14:textId="77777777" w:rsidR="00A75565" w:rsidRPr="00EA07E6" w:rsidRDefault="00A75565" w:rsidP="00A75565">
      <w:pPr>
        <w:jc w:val="both"/>
        <w:rPr>
          <w:rFonts w:ascii="Century Gothic" w:hAnsi="Century Gothic"/>
        </w:rPr>
      </w:pPr>
      <w:r w:rsidRPr="00EA07E6">
        <w:rPr>
          <w:rFonts w:ascii="Century Gothic" w:hAnsi="Century Gothic"/>
        </w:rPr>
        <w:t xml:space="preserve">k) Garantizar la enseñanza primaria gratuita y obligatoria de la educación secundaria, así como asegurar que los jóvenes y adultos con discapacidad y/o con condición de educación especial, tengan acceso general a la educación superior pública en las modalidades de Formación Técnica Profesional, Tecnológica y Profesional, la formación profesional, la educación para adultos, la educación para el trabajo y el aprendizaje durante toda la vida, sin discriminación y en igualdad de condiciones con las demás. </w:t>
      </w:r>
    </w:p>
    <w:p w14:paraId="3BF57646" w14:textId="77777777" w:rsidR="00A75565" w:rsidRPr="00EA07E6" w:rsidRDefault="00A75565" w:rsidP="00A75565">
      <w:pPr>
        <w:jc w:val="both"/>
        <w:rPr>
          <w:rFonts w:ascii="Century Gothic" w:hAnsi="Century Gothic"/>
        </w:rPr>
      </w:pPr>
      <w:r w:rsidRPr="00EA07E6">
        <w:rPr>
          <w:rFonts w:ascii="Century Gothic" w:hAnsi="Century Gothic"/>
        </w:rPr>
        <w:t xml:space="preserve">Para garantizar el acceso efectivo de las personas con discapacidad y/o con condición de educación especial, que ingresen a una universidad pública </w:t>
      </w:r>
      <w:proofErr w:type="gramStart"/>
      <w:r w:rsidRPr="00EA07E6">
        <w:rPr>
          <w:rFonts w:ascii="Century Gothic" w:hAnsi="Century Gothic"/>
        </w:rPr>
        <w:t>estarán</w:t>
      </w:r>
      <w:proofErr w:type="gramEnd"/>
      <w:r w:rsidRPr="00EA07E6">
        <w:rPr>
          <w:rFonts w:ascii="Century Gothic" w:hAnsi="Century Gothic"/>
        </w:rPr>
        <w:t xml:space="preserve"> exentos de pago el valor de matrícula establecido por la institución de educación superior pública en las modalidades de Formación Técnica Profesional, Tecnológica y Profesional;</w:t>
      </w:r>
    </w:p>
    <w:p w14:paraId="52C72ADA" w14:textId="77777777" w:rsidR="00A75565" w:rsidRPr="00EA07E6" w:rsidRDefault="00A75565" w:rsidP="00A75565">
      <w:pPr>
        <w:jc w:val="both"/>
        <w:rPr>
          <w:rFonts w:ascii="Century Gothic" w:hAnsi="Century Gothic"/>
        </w:rPr>
      </w:pPr>
    </w:p>
    <w:p w14:paraId="28A4B4E1" w14:textId="77777777" w:rsidR="00E529CC" w:rsidRDefault="00A75565" w:rsidP="00A75565">
      <w:pPr>
        <w:jc w:val="both"/>
        <w:rPr>
          <w:rFonts w:ascii="Century Gothic" w:hAnsi="Century Gothic"/>
        </w:rPr>
      </w:pPr>
      <w:r w:rsidRPr="00EA07E6">
        <w:rPr>
          <w:rFonts w:ascii="Century Gothic" w:hAnsi="Century Gothic"/>
        </w:rPr>
        <w:t xml:space="preserve">2. Las entidades territoriales certificadas en educación deberán: </w:t>
      </w:r>
    </w:p>
    <w:p w14:paraId="3DC3DBB7" w14:textId="51BBDC1A" w:rsidR="00A75565" w:rsidRPr="00EA07E6" w:rsidRDefault="00A75565" w:rsidP="00A75565">
      <w:pPr>
        <w:jc w:val="both"/>
        <w:rPr>
          <w:rFonts w:ascii="Century Gothic" w:hAnsi="Century Gothic"/>
        </w:rPr>
      </w:pPr>
      <w:r w:rsidRPr="00EA07E6">
        <w:rPr>
          <w:rFonts w:ascii="Century Gothic" w:hAnsi="Century Gothic"/>
        </w:rPr>
        <w:t xml:space="preserve">a) Promover una movilización social que reconozca a los niños, jóvenes y adultos con discapacidad como sujetos de la política y no como objeto de la asistencia social. Los niños, niñas, adolescentes y adultos con discapacidad y/o con condición de educación especial, tienen todos los derechos de cualquier ser humano y, además, algunos derechos adicionales establecidos para garantizar su protección; </w:t>
      </w:r>
    </w:p>
    <w:p w14:paraId="6F1EA1C3" w14:textId="77777777" w:rsidR="00A75565" w:rsidRPr="00EA07E6" w:rsidRDefault="00A75565" w:rsidP="00A75565">
      <w:pPr>
        <w:jc w:val="both"/>
        <w:rPr>
          <w:rFonts w:ascii="Century Gothic" w:hAnsi="Century Gothic"/>
        </w:rPr>
      </w:pPr>
      <w:r w:rsidRPr="00EA07E6">
        <w:rPr>
          <w:rFonts w:ascii="Century Gothic" w:hAnsi="Century Gothic"/>
        </w:rPr>
        <w:t xml:space="preserve">b) Fomentar en sus establecimientos educativos una cultura inclusiva de respeto al derecho a una educación de calidad para las personas con discapacidad y/o con condición de educación especial que desarrolle sus competencias básicas y ciudadanas; </w:t>
      </w:r>
    </w:p>
    <w:p w14:paraId="35469DE4" w14:textId="77777777" w:rsidR="00A75565" w:rsidRPr="00EA07E6" w:rsidRDefault="00A75565" w:rsidP="00A75565">
      <w:pPr>
        <w:jc w:val="both"/>
        <w:rPr>
          <w:rFonts w:ascii="Century Gothic" w:hAnsi="Century Gothic"/>
        </w:rPr>
      </w:pPr>
      <w:r w:rsidRPr="00EA07E6">
        <w:rPr>
          <w:rFonts w:ascii="Century Gothic" w:hAnsi="Century Gothic"/>
        </w:rPr>
        <w:t xml:space="preserve">c) Orientar y acompañar a los establecimientos educativos para la identificación de las barreras que impiden el acceso, permanencia y calidad del sistema </w:t>
      </w:r>
      <w:r w:rsidRPr="00EA07E6">
        <w:rPr>
          <w:rFonts w:ascii="Century Gothic" w:hAnsi="Century Gothic"/>
        </w:rPr>
        <w:lastRenderedPageBreak/>
        <w:t xml:space="preserve">educativo de los niños, niñas, jóvenes y adultos con necesidades educativas especiales de su entorno; </w:t>
      </w:r>
    </w:p>
    <w:p w14:paraId="0BB4F2C2" w14:textId="77777777" w:rsidR="00A75565" w:rsidRPr="00EA07E6" w:rsidRDefault="00A75565" w:rsidP="00A75565">
      <w:pPr>
        <w:jc w:val="both"/>
        <w:rPr>
          <w:rFonts w:ascii="Century Gothic" w:hAnsi="Century Gothic"/>
        </w:rPr>
      </w:pPr>
      <w:r w:rsidRPr="00EA07E6">
        <w:rPr>
          <w:rFonts w:ascii="Century Gothic" w:hAnsi="Century Gothic"/>
        </w:rPr>
        <w:t xml:space="preserve">d) Orientar y acompañar a sus establecimientos educativos para identificar recursos en su entorno y ajustar su organización escolar y su proyecto pedagógico para superar las barreras que impiden el acceso y la permanencia con calidad para las personas con discapacidad y/o con condición de educación especial, en el marco de la inclusión. </w:t>
      </w:r>
    </w:p>
    <w:p w14:paraId="03662929" w14:textId="77777777" w:rsidR="00A75565" w:rsidRPr="00EA07E6" w:rsidRDefault="00A75565" w:rsidP="00A75565">
      <w:pPr>
        <w:jc w:val="both"/>
        <w:rPr>
          <w:rFonts w:ascii="Century Gothic" w:hAnsi="Century Gothic"/>
        </w:rPr>
      </w:pPr>
      <w:r w:rsidRPr="00EA07E6">
        <w:rPr>
          <w:rFonts w:ascii="Century Gothic" w:hAnsi="Century Gothic"/>
        </w:rPr>
        <w:t xml:space="preserve">e) Garantizar el personal docente para la atención educativa a la población con discapacidad y/o con condición de educación especial, en el marco de la inclusión, así como fomentar su formación, capacitación permanente, de conformidad con lo establecido por la normatividad vigente; </w:t>
      </w:r>
    </w:p>
    <w:p w14:paraId="6ADDBE6C" w14:textId="77777777" w:rsidR="00A75565" w:rsidRPr="00EA07E6" w:rsidRDefault="00A75565" w:rsidP="00A75565">
      <w:pPr>
        <w:jc w:val="both"/>
        <w:rPr>
          <w:rFonts w:ascii="Century Gothic" w:hAnsi="Century Gothic"/>
        </w:rPr>
      </w:pPr>
      <w:r w:rsidRPr="00EA07E6">
        <w:rPr>
          <w:rFonts w:ascii="Century Gothic" w:hAnsi="Century Gothic"/>
        </w:rPr>
        <w:t>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w:t>
      </w:r>
    </w:p>
    <w:p w14:paraId="2917A6B7" w14:textId="77777777" w:rsidR="00A75565" w:rsidRPr="00EA07E6" w:rsidRDefault="00A75565" w:rsidP="00A75565">
      <w:pPr>
        <w:jc w:val="both"/>
        <w:rPr>
          <w:rFonts w:ascii="Century Gothic" w:hAnsi="Century Gothic"/>
        </w:rPr>
      </w:pPr>
      <w:r w:rsidRPr="00EA07E6">
        <w:rPr>
          <w:rFonts w:ascii="Century Gothic" w:hAnsi="Century Gothic"/>
        </w:rPr>
        <w:t xml:space="preserve">g) Garantizar el adecuado uso de los recursos para la atención educativa a las personas con discapacidad y/o con condición de educación especial y reportar la información sobre uso de dichos recursos, de conformidad con lo dispuesto por el Ministerio de Educación Nacional; </w:t>
      </w:r>
    </w:p>
    <w:p w14:paraId="05D38440" w14:textId="77777777" w:rsidR="00A75565" w:rsidRPr="00EA07E6" w:rsidRDefault="00A75565" w:rsidP="00A75565">
      <w:pPr>
        <w:jc w:val="both"/>
        <w:rPr>
          <w:rFonts w:ascii="Century Gothic" w:hAnsi="Century Gothic"/>
        </w:rPr>
      </w:pPr>
      <w:r w:rsidRPr="00EA07E6">
        <w:rPr>
          <w:rFonts w:ascii="Century Gothic" w:hAnsi="Century Gothic"/>
        </w:rPr>
        <w:t xml:space="preserve">h) Reportar la información sobre atención educativa a personas con discapacidad y/o con condición de educación especial en el Sistema Nacional de Información de Educación, de conformidad con lo dispuesto por el Ministerio de Educación Nacional; </w:t>
      </w:r>
    </w:p>
    <w:p w14:paraId="788D99B2" w14:textId="77777777" w:rsidR="00A75565" w:rsidRPr="00EA07E6" w:rsidRDefault="00A75565" w:rsidP="00A75565">
      <w:pPr>
        <w:jc w:val="both"/>
        <w:rPr>
          <w:rFonts w:ascii="Century Gothic" w:hAnsi="Century Gothic"/>
        </w:rPr>
      </w:pPr>
      <w:r w:rsidRPr="00EA07E6">
        <w:rPr>
          <w:rFonts w:ascii="Century Gothic" w:hAnsi="Century Gothic"/>
        </w:rPr>
        <w:t xml:space="preserve">i) Fomentar la prevención sobre cualquier caso de exclusión o discriminación de estudiantes con discapacidad y/o con condición de educación especial en los establecimientos educativos estatales y privados; </w:t>
      </w:r>
    </w:p>
    <w:p w14:paraId="346CD188" w14:textId="77777777" w:rsidR="00A75565" w:rsidRPr="00EA07E6" w:rsidRDefault="00A75565" w:rsidP="00A75565">
      <w:pPr>
        <w:jc w:val="both"/>
        <w:rPr>
          <w:rFonts w:ascii="Century Gothic" w:hAnsi="Century Gothic"/>
        </w:rPr>
      </w:pPr>
      <w:r w:rsidRPr="00EA07E6">
        <w:rPr>
          <w:rFonts w:ascii="Century Gothic" w:hAnsi="Century Gothic"/>
        </w:rPr>
        <w:t xml:space="preserve">j) Proveer los servicios de apoyo educativo necesarios para la inclusión en condiciones de igualdad de las personas con discapacidad y/o con condición de educación especial. Estos servicios incluyen, entre otros: intérpretes, guías-intérpretes, modelos lingüísticos, personal de apoyo, personal en el aula y en la institución. </w:t>
      </w:r>
    </w:p>
    <w:p w14:paraId="4DAF1E5B" w14:textId="77777777" w:rsidR="00A75565" w:rsidRPr="00EA07E6" w:rsidRDefault="00A75565" w:rsidP="00A75565">
      <w:pPr>
        <w:jc w:val="both"/>
        <w:rPr>
          <w:rFonts w:ascii="Century Gothic" w:hAnsi="Century Gothic"/>
        </w:rPr>
      </w:pPr>
    </w:p>
    <w:p w14:paraId="522C5BA1" w14:textId="77777777" w:rsidR="00A75565" w:rsidRPr="00EA07E6" w:rsidRDefault="00A75565" w:rsidP="00A75565">
      <w:pPr>
        <w:jc w:val="both"/>
        <w:rPr>
          <w:rFonts w:ascii="Century Gothic" w:hAnsi="Century Gothic"/>
        </w:rPr>
      </w:pPr>
      <w:r w:rsidRPr="00EA07E6">
        <w:rPr>
          <w:rFonts w:ascii="Century Gothic" w:hAnsi="Century Gothic"/>
        </w:rPr>
        <w:t xml:space="preserve">3. Los establecimientos educativos estatales y privados deberán: </w:t>
      </w:r>
    </w:p>
    <w:p w14:paraId="1E9DE211" w14:textId="77777777" w:rsidR="00A75565" w:rsidRPr="00EA07E6" w:rsidRDefault="00A75565" w:rsidP="00A75565">
      <w:pPr>
        <w:jc w:val="both"/>
        <w:rPr>
          <w:rFonts w:ascii="Century Gothic" w:hAnsi="Century Gothic"/>
        </w:rPr>
      </w:pPr>
      <w:r w:rsidRPr="00EA07E6">
        <w:rPr>
          <w:rFonts w:ascii="Century Gothic" w:hAnsi="Century Gothic"/>
        </w:rPr>
        <w:t xml:space="preserve">a) Identificar los niños, niñas y jóvenes de su entorno susceptibles de atención integral para garantizar su acceso y permanencia educativa pertinente y con </w:t>
      </w:r>
      <w:r w:rsidRPr="00EA07E6">
        <w:rPr>
          <w:rFonts w:ascii="Century Gothic" w:hAnsi="Century Gothic"/>
        </w:rPr>
        <w:lastRenderedPageBreak/>
        <w:t xml:space="preserve">calidad en el marco de la inclusión y conforme a los lineamientos establecidos por la Nación; </w:t>
      </w:r>
    </w:p>
    <w:p w14:paraId="6F29FBAD" w14:textId="77777777" w:rsidR="00A75565" w:rsidRPr="00EA07E6" w:rsidRDefault="00A75565" w:rsidP="00A75565">
      <w:pPr>
        <w:jc w:val="both"/>
        <w:rPr>
          <w:rFonts w:ascii="Century Gothic" w:hAnsi="Century Gothic"/>
        </w:rPr>
      </w:pPr>
      <w:r w:rsidRPr="00EA07E6">
        <w:rPr>
          <w:rFonts w:ascii="Century Gothic" w:hAnsi="Century Gothic"/>
        </w:rPr>
        <w:t xml:space="preserve">b) Identificar las barreras que impiden el acceso, la permanencia y el derecho a una educación de calidad a personas con necesidades educativas especiales; </w:t>
      </w:r>
    </w:p>
    <w:p w14:paraId="4924C1CD" w14:textId="77777777" w:rsidR="00A75565" w:rsidRPr="00EA07E6" w:rsidRDefault="00A75565" w:rsidP="00A75565">
      <w:pPr>
        <w:jc w:val="both"/>
        <w:rPr>
          <w:rFonts w:ascii="Century Gothic" w:hAnsi="Century Gothic"/>
        </w:rPr>
      </w:pPr>
      <w:r w:rsidRPr="00EA07E6">
        <w:rPr>
          <w:rFonts w:ascii="Century Gothic" w:hAnsi="Century Gothic"/>
        </w:rPr>
        <w:t xml:space="preserve">c) Ajustar los planes de mejoramiento institucionales para la inclusión, a partir del índice de inclusión y de acuerdo con los lineamientos que el Ministerio de Educación Nacional establezca sobre el tema; </w:t>
      </w:r>
    </w:p>
    <w:p w14:paraId="7E705E92" w14:textId="77777777" w:rsidR="00A75565" w:rsidRPr="00EA07E6" w:rsidRDefault="00A75565" w:rsidP="00A75565">
      <w:pPr>
        <w:jc w:val="both"/>
        <w:rPr>
          <w:rFonts w:ascii="Century Gothic" w:hAnsi="Century Gothic"/>
        </w:rPr>
      </w:pPr>
      <w:r w:rsidRPr="00EA07E6">
        <w:rPr>
          <w:rFonts w:ascii="Century Gothic" w:hAnsi="Century Gothic"/>
        </w:rPr>
        <w:t xml:space="preserve">d) Realizar seguimiento a la permanencia educativa de los estudiantes con necesidades educativas especiales y adoptar las medidas pertinentes para garantizar su permanencia escolar; </w:t>
      </w:r>
    </w:p>
    <w:p w14:paraId="01744B1A" w14:textId="77777777" w:rsidR="00A75565" w:rsidRPr="00EA07E6" w:rsidRDefault="00A75565" w:rsidP="00A75565">
      <w:pPr>
        <w:jc w:val="both"/>
        <w:rPr>
          <w:rFonts w:ascii="Century Gothic" w:hAnsi="Century Gothic"/>
        </w:rPr>
      </w:pPr>
      <w:r w:rsidRPr="00EA07E6">
        <w:rPr>
          <w:rFonts w:ascii="Century Gothic" w:hAnsi="Century Gothic"/>
        </w:rPr>
        <w:t xml:space="preserve">e) Reportar la información sobre atención educativa a personas con discapacidad en el sistema nacional de información de educación, de conformidad con lo dispuesto por el Ministerio de Educación Nacional; </w:t>
      </w:r>
    </w:p>
    <w:p w14:paraId="58648DB6" w14:textId="77777777" w:rsidR="00A75565" w:rsidRPr="00EA07E6" w:rsidRDefault="00A75565" w:rsidP="00A75565">
      <w:pPr>
        <w:jc w:val="both"/>
        <w:rPr>
          <w:rFonts w:ascii="Century Gothic" w:hAnsi="Century Gothic"/>
        </w:rPr>
      </w:pPr>
      <w:r w:rsidRPr="00EA07E6">
        <w:rPr>
          <w:rFonts w:ascii="Century Gothic" w:hAnsi="Century Gothic"/>
        </w:rPr>
        <w:t xml:space="preserve">f) Implementar acciones de prevención sobre cualquier caso de exclusión o discriminación de estudiantes con discapacidad en los establecimientos educativos estatales y privados; </w:t>
      </w:r>
    </w:p>
    <w:p w14:paraId="46F11811" w14:textId="77777777" w:rsidR="00A75565" w:rsidRPr="00EA07E6" w:rsidRDefault="00A75565" w:rsidP="00A75565">
      <w:pPr>
        <w:jc w:val="both"/>
        <w:rPr>
          <w:rFonts w:ascii="Century Gothic" w:hAnsi="Century Gothic"/>
        </w:rPr>
      </w:pPr>
      <w:r w:rsidRPr="00EA07E6">
        <w:rPr>
          <w:rFonts w:ascii="Century Gothic" w:hAnsi="Century Gothic"/>
        </w:rPr>
        <w:t xml:space="preserve">g) Contemplar en su organización escolar tiempos y espacios que estimulen a los 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 </w:t>
      </w:r>
    </w:p>
    <w:p w14:paraId="5448C00E" w14:textId="77777777" w:rsidR="00A75565" w:rsidRPr="00EA07E6" w:rsidRDefault="00A75565" w:rsidP="00A75565">
      <w:pPr>
        <w:jc w:val="both"/>
        <w:rPr>
          <w:rFonts w:ascii="Century Gothic" w:hAnsi="Century Gothic"/>
        </w:rPr>
      </w:pPr>
      <w:r w:rsidRPr="00EA07E6">
        <w:rPr>
          <w:rFonts w:ascii="Century Gothic" w:hAnsi="Century Gothic"/>
        </w:rPr>
        <w:t xml:space="preserve">h) Propender por que el personal docente sea idóneo y suficiente para el desarrollo de los procesos de inclusión social, así como fomentar su formación y capacitación permanente; </w:t>
      </w:r>
    </w:p>
    <w:p w14:paraId="494F4C71" w14:textId="77777777" w:rsidR="00A75565" w:rsidRPr="00EA07E6" w:rsidRDefault="00A75565" w:rsidP="00A75565">
      <w:pPr>
        <w:jc w:val="both"/>
        <w:rPr>
          <w:rFonts w:ascii="Century Gothic" w:hAnsi="Century Gothic"/>
        </w:rPr>
      </w:pPr>
      <w:r w:rsidRPr="00EA07E6">
        <w:rPr>
          <w:rFonts w:ascii="Century Gothic" w:hAnsi="Century Gothic"/>
        </w:rPr>
        <w:t xml:space="preserve">i) Adaptar sus currículos y en general todas las prácticas didácticas, metodológicas y pedagógicas que desarrollen para incluir efectivamente a todas las personas con discapacidad y/o con condición de educación especial. </w:t>
      </w:r>
    </w:p>
    <w:p w14:paraId="023478AD" w14:textId="77777777" w:rsidR="00A75565" w:rsidRPr="00EA07E6" w:rsidRDefault="00A75565" w:rsidP="00A75565">
      <w:pPr>
        <w:jc w:val="both"/>
        <w:rPr>
          <w:rFonts w:ascii="Century Gothic" w:hAnsi="Century Gothic"/>
        </w:rPr>
      </w:pPr>
    </w:p>
    <w:p w14:paraId="32062E5C" w14:textId="77777777" w:rsidR="00A75565" w:rsidRPr="00EA07E6" w:rsidRDefault="00A75565" w:rsidP="00A75565">
      <w:pPr>
        <w:jc w:val="both"/>
        <w:rPr>
          <w:rFonts w:ascii="Century Gothic" w:hAnsi="Century Gothic"/>
        </w:rPr>
      </w:pPr>
      <w:r w:rsidRPr="00EA07E6">
        <w:rPr>
          <w:rFonts w:ascii="Century Gothic" w:hAnsi="Century Gothic"/>
        </w:rPr>
        <w:t xml:space="preserve">4. El Ministerio de Educación Nacional deberá, en relación con la educación superior: </w:t>
      </w:r>
    </w:p>
    <w:p w14:paraId="0EA42097" w14:textId="77777777" w:rsidR="00A75565" w:rsidRPr="00EA07E6" w:rsidRDefault="00A75565" w:rsidP="00A75565">
      <w:pPr>
        <w:jc w:val="both"/>
        <w:rPr>
          <w:rFonts w:ascii="Century Gothic" w:hAnsi="Century Gothic"/>
        </w:rPr>
      </w:pPr>
      <w:r w:rsidRPr="00EA07E6">
        <w:rPr>
          <w:rFonts w:ascii="Century Gothic" w:hAnsi="Century Gothic"/>
        </w:rPr>
        <w:t xml:space="preserve">a) Consolidar la política de educación inclusiva y equitativa conforme al artículo 24 de la Convención de Naciones Unidas sobre los Derechos de las Personas con Discapacidad y/o con condición de educación especial, la Ley general de educación y los lineamientos de educación para todos de la Unesco; </w:t>
      </w:r>
    </w:p>
    <w:p w14:paraId="4982FA8D" w14:textId="77777777" w:rsidR="00A75565" w:rsidRPr="00EA07E6" w:rsidRDefault="00A75565" w:rsidP="00A75565">
      <w:pPr>
        <w:jc w:val="both"/>
        <w:rPr>
          <w:rFonts w:ascii="Century Gothic" w:hAnsi="Century Gothic"/>
        </w:rPr>
      </w:pPr>
    </w:p>
    <w:p w14:paraId="40D2C7D1" w14:textId="77777777" w:rsidR="00A75565" w:rsidRPr="00EA07E6" w:rsidRDefault="00A75565" w:rsidP="00A75565">
      <w:pPr>
        <w:jc w:val="both"/>
        <w:rPr>
          <w:rFonts w:ascii="Century Gothic" w:hAnsi="Century Gothic"/>
        </w:rPr>
      </w:pPr>
      <w:r w:rsidRPr="00EA07E6">
        <w:rPr>
          <w:rFonts w:ascii="Century Gothic" w:hAnsi="Century Gothic"/>
        </w:rPr>
        <w:lastRenderedPageBreak/>
        <w:t xml:space="preserve">b) Diseñar incentivos para que las instituciones de Educación Superior Pública destinen recursos humanos y recursos económicos al desarrollo de investigaciones, programas, y estrategias para desarrollar tecnologías inclusivas e implementar el diseño universal de manera gradual; </w:t>
      </w:r>
    </w:p>
    <w:p w14:paraId="046B6A18" w14:textId="77777777" w:rsidR="00A75565" w:rsidRPr="00EA07E6" w:rsidRDefault="00A75565" w:rsidP="00A75565">
      <w:pPr>
        <w:jc w:val="both"/>
        <w:rPr>
          <w:rFonts w:ascii="Century Gothic" w:hAnsi="Century Gothic"/>
        </w:rPr>
      </w:pPr>
      <w:r w:rsidRPr="00EA07E6">
        <w:rPr>
          <w:rFonts w:ascii="Century Gothic" w:hAnsi="Century Gothic"/>
        </w:rPr>
        <w:t xml:space="preserve">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y/o con condición de educación especial; </w:t>
      </w:r>
    </w:p>
    <w:p w14:paraId="36F724CD" w14:textId="77777777" w:rsidR="00A75565" w:rsidRPr="00EA07E6" w:rsidRDefault="00A75565" w:rsidP="00A75565">
      <w:pPr>
        <w:jc w:val="both"/>
        <w:rPr>
          <w:rFonts w:ascii="Century Gothic" w:hAnsi="Century Gothic"/>
        </w:rPr>
      </w:pPr>
      <w:r w:rsidRPr="00EA07E6">
        <w:rPr>
          <w:rFonts w:ascii="Century Gothic" w:hAnsi="Century Gothic"/>
        </w:rPr>
        <w:t xml:space="preserve">d) El Ministerio de Educación Nacional acorde con el marco legal vigente, incorporará criterios de inclusión educativa de personas con discapacidad y/o con condición de educación especial y accesibilidad como elementos necesarios dentro de las estrategias, mecanismos e instrumentos de verificación de las condiciones de calidad de la educación superior pública; </w:t>
      </w:r>
    </w:p>
    <w:p w14:paraId="6BF5D432" w14:textId="77777777" w:rsidR="00A75565" w:rsidRPr="00EA07E6" w:rsidRDefault="00A75565" w:rsidP="00A75565">
      <w:pPr>
        <w:jc w:val="both"/>
        <w:rPr>
          <w:rFonts w:ascii="Century Gothic" w:hAnsi="Century Gothic"/>
        </w:rPr>
      </w:pPr>
      <w:r w:rsidRPr="00EA07E6">
        <w:rPr>
          <w:rFonts w:ascii="Century Gothic" w:hAnsi="Century Gothic"/>
        </w:rPr>
        <w:t xml:space="preserve">e) Incentivar el diseño de programas de formación de docentes regulares, para la inclusión educativa de la diversidad, la flexibilización curricular y en especial, la enseñanza a todas las personas con discapacidad y/o con condición de educación especial, que cumplan con estándares de calidad; </w:t>
      </w:r>
    </w:p>
    <w:p w14:paraId="6932A89E" w14:textId="77777777" w:rsidR="00A75565" w:rsidRPr="00EA07E6" w:rsidRDefault="00A75565" w:rsidP="00A75565">
      <w:pPr>
        <w:jc w:val="both"/>
        <w:rPr>
          <w:rFonts w:ascii="Century Gothic" w:hAnsi="Century Gothic"/>
        </w:rPr>
      </w:pPr>
      <w:r w:rsidRPr="00EA07E6">
        <w:rPr>
          <w:rFonts w:ascii="Century Gothic" w:hAnsi="Century Gothic"/>
        </w:rPr>
        <w:t xml:space="preserve">f) Asegurar, dentro del ámbito de sus competencias, a las personas con discapacidad el acceso, en condiciones de equidad con las demás y sin discriminación, a una educación superior 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14:paraId="3E8B56C9" w14:textId="77777777" w:rsidR="00A75565" w:rsidRPr="00EA07E6" w:rsidRDefault="00A75565" w:rsidP="00A75565">
      <w:pPr>
        <w:jc w:val="both"/>
        <w:rPr>
          <w:rFonts w:ascii="Century Gothic" w:hAnsi="Century Gothic"/>
        </w:rPr>
      </w:pPr>
      <w:r w:rsidRPr="00EA07E6">
        <w:rPr>
          <w:rFonts w:ascii="Century Gothic" w:hAnsi="Century Gothic"/>
        </w:rPr>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de personas con discapacidad y/o con condición de educación especial y la accesibilidad en la prestación del servicio educativo de calidad a dicha población; </w:t>
      </w:r>
    </w:p>
    <w:p w14:paraId="7B22EE42" w14:textId="77777777" w:rsidR="00A75565" w:rsidRPr="00EA07E6" w:rsidRDefault="00A75565" w:rsidP="00A75565">
      <w:pPr>
        <w:jc w:val="both"/>
        <w:rPr>
          <w:rFonts w:ascii="Century Gothic" w:hAnsi="Century Gothic"/>
        </w:rPr>
      </w:pPr>
      <w:r w:rsidRPr="00EA07E6">
        <w:rPr>
          <w:rFonts w:ascii="Century Gothic" w:hAnsi="Century Gothic"/>
        </w:rPr>
        <w:t xml:space="preserve">h) El Ministerio de Educación Nacional mediante el concurso de las instancias y organismos que participan en la verificación de las condiciones de calidad de los programas académicos de educación superior, verificará que se incluyan propuestas de actividad física, la educación física, la recreación y el entrenamiento deportivo para las personas con discapacidad y/o con condición de educación especial; </w:t>
      </w:r>
    </w:p>
    <w:p w14:paraId="061B5E4E" w14:textId="77777777" w:rsidR="00A75565" w:rsidRPr="00EA07E6" w:rsidRDefault="00A75565" w:rsidP="00A75565">
      <w:pPr>
        <w:jc w:val="both"/>
        <w:rPr>
          <w:rFonts w:ascii="Century Gothic" w:hAnsi="Century Gothic"/>
        </w:rPr>
      </w:pPr>
    </w:p>
    <w:p w14:paraId="62FD9859" w14:textId="77777777" w:rsidR="00A75565" w:rsidRPr="00EA07E6" w:rsidRDefault="00A75565" w:rsidP="00A75565">
      <w:pPr>
        <w:jc w:val="both"/>
        <w:rPr>
          <w:rFonts w:ascii="Century Gothic" w:hAnsi="Century Gothic"/>
        </w:rPr>
      </w:pPr>
      <w:r w:rsidRPr="00EA07E6">
        <w:rPr>
          <w:rFonts w:ascii="Century Gothic" w:hAnsi="Century Gothic"/>
        </w:rPr>
        <w:t xml:space="preserve">i) Las instituciones de educación superior deberán promover la sensibilización y capacitación de los licenciados y maestros en todas las disciplinas y la inclusión del tema de discapacidad y/o con condición de educación especial en todos los currículos desde un enfoque intersectorial; </w:t>
      </w:r>
    </w:p>
    <w:p w14:paraId="31308FFA" w14:textId="77777777" w:rsidR="00A75565" w:rsidRPr="00EA07E6" w:rsidRDefault="00A75565" w:rsidP="00A75565">
      <w:pPr>
        <w:jc w:val="both"/>
        <w:rPr>
          <w:rFonts w:ascii="Century Gothic" w:hAnsi="Century Gothic"/>
        </w:rPr>
      </w:pPr>
      <w:r w:rsidRPr="00EA07E6">
        <w:rPr>
          <w:rFonts w:ascii="Century Gothic" w:hAnsi="Century Gothic"/>
        </w:rPr>
        <w:t xml:space="preserve">j) Priorizar la asignación de recursos financieros suficientes para ofrecer capacitación continua, presencial y a distancia, de los directivos y docentes de todos los niveles educativos y 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14:paraId="1BA7B719" w14:textId="77777777" w:rsidR="00A75565" w:rsidRPr="00EA07E6" w:rsidRDefault="00A75565" w:rsidP="00A75565">
      <w:pPr>
        <w:jc w:val="both"/>
        <w:rPr>
          <w:rFonts w:ascii="Century Gothic" w:hAnsi="Century Gothic"/>
        </w:rPr>
      </w:pPr>
      <w:r w:rsidRPr="00EA07E6">
        <w:rPr>
          <w:rFonts w:ascii="Century Gothic" w:hAnsi="Century Gothic"/>
        </w:rPr>
        <w:t xml:space="preserve">k) Asignar recursos financieros para el diseño y ejecución de programas educativos que utilicen las nuevas tecnologías de la información y las comunicaciones, para garantizar la alfabetización digital de niños, niñas, jóvenes y adultos con discapacidad y/o con condición de educación especial, y con el fin de garantizar un mayor acceso a las oportunidades de aprendizaje, en particular en las zonas rurales, alejadas y desfavorecidas; </w:t>
      </w:r>
    </w:p>
    <w:p w14:paraId="75581B85" w14:textId="77777777" w:rsidR="00A75565" w:rsidRPr="00EA07E6" w:rsidRDefault="00A75565" w:rsidP="00A75565">
      <w:pPr>
        <w:jc w:val="both"/>
        <w:rPr>
          <w:rFonts w:ascii="Century Gothic" w:hAnsi="Century Gothic"/>
        </w:rPr>
      </w:pPr>
      <w:r w:rsidRPr="00EA07E6">
        <w:rPr>
          <w:rFonts w:ascii="Century Gothic" w:hAnsi="Century Gothic"/>
        </w:rPr>
        <w:t xml:space="preserve">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 </w:t>
      </w:r>
    </w:p>
    <w:p w14:paraId="5024B68D" w14:textId="77777777" w:rsidR="00A75565" w:rsidRPr="00EA07E6" w:rsidRDefault="00A75565" w:rsidP="00A75565">
      <w:pPr>
        <w:jc w:val="both"/>
        <w:rPr>
          <w:rFonts w:ascii="Century Gothic" w:hAnsi="Century Gothic"/>
          <w:b/>
        </w:rPr>
      </w:pPr>
    </w:p>
    <w:p w14:paraId="2B7C152B" w14:textId="77777777" w:rsidR="00A75565" w:rsidRPr="00EA07E6" w:rsidRDefault="00A75565" w:rsidP="00A75565">
      <w:pPr>
        <w:jc w:val="both"/>
        <w:rPr>
          <w:rFonts w:ascii="Century Gothic" w:hAnsi="Century Gothic"/>
          <w:b/>
        </w:rPr>
      </w:pPr>
      <w:r w:rsidRPr="00EA07E6">
        <w:rPr>
          <w:rFonts w:ascii="Century Gothic" w:hAnsi="Century Gothic"/>
          <w:b/>
        </w:rPr>
        <w:t xml:space="preserve">ARTÍCULO 3. </w:t>
      </w:r>
      <w:r w:rsidRPr="00EA07E6">
        <w:rPr>
          <w:rFonts w:ascii="Century Gothic" w:hAnsi="Century Gothic"/>
        </w:rPr>
        <w:t>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w:t>
      </w:r>
      <w:r w:rsidRPr="00EA07E6">
        <w:rPr>
          <w:rFonts w:ascii="Century Gothic" w:hAnsi="Century Gothic"/>
          <w:b/>
          <w:shd w:val="clear" w:color="auto" w:fill="FFFF00"/>
        </w:rPr>
        <w:t xml:space="preserve"> </w:t>
      </w:r>
    </w:p>
    <w:p w14:paraId="3567881F" w14:textId="77777777" w:rsidR="00A75565" w:rsidRPr="00EA07E6" w:rsidRDefault="00A75565" w:rsidP="00A75565">
      <w:pPr>
        <w:jc w:val="both"/>
        <w:rPr>
          <w:rFonts w:ascii="Century Gothic" w:hAnsi="Century Gothic"/>
          <w:b/>
        </w:rPr>
      </w:pPr>
      <w:r w:rsidRPr="00EA07E6">
        <w:rPr>
          <w:rFonts w:ascii="Century Gothic" w:hAnsi="Century Gothic"/>
          <w:b/>
        </w:rPr>
        <w:t>Parágrafo 1.</w:t>
      </w:r>
      <w:r w:rsidRPr="00EA07E6">
        <w:rPr>
          <w:rFonts w:ascii="Century Gothic" w:hAnsi="Century Gothic"/>
        </w:rPr>
        <w:t xml:space="preserve"> Si la cifra del tres por ciento (3%) de que habla este artículo da como resultado cifras de enteros con decimales, automáticamente este resultado se incrementara a la unidad entera inmediatamente superior.</w:t>
      </w:r>
      <w:r w:rsidRPr="00EA07E6">
        <w:rPr>
          <w:rFonts w:ascii="Century Gothic" w:hAnsi="Century Gothic"/>
          <w:b/>
        </w:rPr>
        <w:t xml:space="preserve"> </w:t>
      </w:r>
    </w:p>
    <w:p w14:paraId="600E7592" w14:textId="77777777" w:rsidR="00A75565" w:rsidRPr="00EA07E6" w:rsidRDefault="00A75565" w:rsidP="00A75565">
      <w:pPr>
        <w:jc w:val="both"/>
        <w:rPr>
          <w:rFonts w:ascii="Century Gothic" w:hAnsi="Century Gothic"/>
          <w:b/>
        </w:rPr>
      </w:pPr>
      <w:r w:rsidRPr="00EA07E6">
        <w:rPr>
          <w:rFonts w:ascii="Century Gothic" w:hAnsi="Century Gothic"/>
          <w:b/>
        </w:rPr>
        <w:t xml:space="preserve">Parágrafo 2. </w:t>
      </w:r>
      <w:r w:rsidRPr="00EA07E6">
        <w:rPr>
          <w:rFonts w:ascii="Century Gothic" w:hAnsi="Century Gothic"/>
        </w:rPr>
        <w:t>En un plazo máximo de un (1) año calendario contados a partir de la entrada en vigencia de la presente ley, las instituciones de educación superior públicas a través de sus consejos superiores establecerán en sus reglamentos los ítems de desempate o criterios de elegibilidad que se seguirán en estricto orden en el evento de que se presente empate entre dos o más personas con discapacidad para acceder a estos cupos.</w:t>
      </w:r>
    </w:p>
    <w:p w14:paraId="25C151AF" w14:textId="77777777" w:rsidR="00A75565" w:rsidRPr="00EA07E6" w:rsidRDefault="00A75565" w:rsidP="00A75565">
      <w:pPr>
        <w:jc w:val="both"/>
        <w:rPr>
          <w:rFonts w:ascii="Century Gothic" w:hAnsi="Century Gothic"/>
          <w:b/>
        </w:rPr>
      </w:pPr>
    </w:p>
    <w:p w14:paraId="046772C8" w14:textId="77777777" w:rsidR="00A75565" w:rsidRPr="00EA07E6" w:rsidRDefault="00A75565" w:rsidP="00A75565">
      <w:pPr>
        <w:jc w:val="both"/>
        <w:rPr>
          <w:rFonts w:ascii="Century Gothic" w:hAnsi="Century Gothic"/>
          <w:b/>
        </w:rPr>
      </w:pPr>
      <w:r w:rsidRPr="00EA07E6">
        <w:rPr>
          <w:rFonts w:ascii="Century Gothic" w:hAnsi="Century Gothic"/>
          <w:b/>
        </w:rPr>
        <w:lastRenderedPageBreak/>
        <w:t xml:space="preserve">ARTÍCULO 4º. VIGENCIA Y DEROGATORIA. </w:t>
      </w:r>
      <w:r w:rsidRPr="00EA07E6">
        <w:rPr>
          <w:rFonts w:ascii="Century Gothic" w:hAnsi="Century Gothic"/>
        </w:rPr>
        <w:t>La presente Ley rige a partir de la fecha de su publicación y deroga todas las disposiciones que le sean contrarias.</w:t>
      </w:r>
    </w:p>
    <w:p w14:paraId="50D5DEF9" w14:textId="77777777" w:rsidR="0005585D" w:rsidRDefault="0005585D" w:rsidP="00EA07E6">
      <w:pPr>
        <w:rPr>
          <w:rFonts w:ascii="Century Gothic" w:hAnsi="Century Gothic"/>
          <w:color w:val="0D0D0D" w:themeColor="text1" w:themeTint="F2"/>
        </w:rPr>
      </w:pPr>
    </w:p>
    <w:p w14:paraId="34A65996" w14:textId="653CE08E" w:rsidR="00C711D9" w:rsidRPr="00EA07E6" w:rsidRDefault="00A75565" w:rsidP="00EA07E6">
      <w:pPr>
        <w:rPr>
          <w:rFonts w:ascii="Century Gothic" w:eastAsia="Arial" w:hAnsi="Century Gothic" w:cs="Arial"/>
          <w:b/>
          <w:i/>
          <w:lang w:val="es-ES_tradnl"/>
        </w:rPr>
      </w:pPr>
      <w:r w:rsidRPr="00EA07E6">
        <w:rPr>
          <w:rFonts w:ascii="Century Gothic" w:hAnsi="Century Gothic"/>
          <w:color w:val="0D0D0D" w:themeColor="text1" w:themeTint="F2"/>
        </w:rPr>
        <w:t xml:space="preserve"> </w:t>
      </w:r>
    </w:p>
    <w:p w14:paraId="403520D5" w14:textId="5B660D3E" w:rsidR="00BF34E3" w:rsidRPr="00040AC1" w:rsidRDefault="00CA4DEE" w:rsidP="001E0A8D">
      <w:pPr>
        <w:spacing w:after="0"/>
        <w:jc w:val="both"/>
        <w:rPr>
          <w:rFonts w:ascii="Century Gothic" w:hAnsi="Century Gothic" w:cs="Arial"/>
          <w:color w:val="000000"/>
          <w:lang w:val="es-ES" w:eastAsia="es-ES"/>
        </w:rPr>
      </w:pPr>
      <w:r w:rsidRPr="00EA07E6">
        <w:rPr>
          <w:rFonts w:ascii="Century Gothic" w:hAnsi="Century Gothic" w:cs="Arial"/>
          <w:color w:val="000000"/>
          <w:lang w:val="es-ES" w:eastAsia="es-ES"/>
        </w:rPr>
        <w:t xml:space="preserve">En los anteriores términos fue aprobado con modificaciones el presente Proyecto de Ley </w:t>
      </w:r>
      <w:r w:rsidR="001E0A8D" w:rsidRPr="00EA07E6">
        <w:rPr>
          <w:rFonts w:ascii="Century Gothic" w:hAnsi="Century Gothic" w:cs="Arial"/>
          <w:color w:val="000000"/>
          <w:lang w:val="es-ES" w:eastAsia="es-ES"/>
        </w:rPr>
        <w:t xml:space="preserve">Estatutaria </w:t>
      </w:r>
      <w:r w:rsidRPr="00EA07E6">
        <w:rPr>
          <w:rFonts w:ascii="Century Gothic" w:hAnsi="Century Gothic" w:cs="Arial"/>
          <w:color w:val="000000"/>
          <w:lang w:val="es-ES" w:eastAsia="es-ES"/>
        </w:rPr>
        <w:t>según consta en Acta No.</w:t>
      </w:r>
      <w:r w:rsidR="00040AC1">
        <w:rPr>
          <w:rFonts w:ascii="Century Gothic" w:hAnsi="Century Gothic" w:cs="Arial"/>
          <w:color w:val="000000"/>
          <w:lang w:val="es-ES" w:eastAsia="es-ES"/>
        </w:rPr>
        <w:t xml:space="preserve"> 17</w:t>
      </w:r>
      <w:r w:rsidR="001E0A8D" w:rsidRPr="00EA07E6">
        <w:rPr>
          <w:rFonts w:ascii="Century Gothic" w:hAnsi="Century Gothic" w:cs="Arial"/>
          <w:color w:val="000000"/>
          <w:lang w:val="es-ES" w:eastAsia="es-ES"/>
        </w:rPr>
        <w:t xml:space="preserve"> de Sesión Presencial de </w:t>
      </w:r>
      <w:r w:rsidR="00040AC1">
        <w:rPr>
          <w:rFonts w:ascii="Century Gothic" w:hAnsi="Century Gothic" w:cs="Arial"/>
          <w:color w:val="000000"/>
          <w:lang w:val="es-ES" w:eastAsia="es-ES"/>
        </w:rPr>
        <w:t xml:space="preserve">Septiembre 22 </w:t>
      </w:r>
      <w:r w:rsidR="001E0A8D" w:rsidRPr="00EA07E6">
        <w:rPr>
          <w:rFonts w:ascii="Century Gothic" w:hAnsi="Century Gothic" w:cs="Arial"/>
          <w:color w:val="000000"/>
          <w:lang w:val="es-ES" w:eastAsia="es-ES"/>
        </w:rPr>
        <w:t>de 2021.</w:t>
      </w:r>
      <w:r w:rsidR="00C13EA7" w:rsidRPr="00EA07E6">
        <w:rPr>
          <w:rFonts w:ascii="Century Gothic" w:hAnsi="Century Gothic" w:cs="Arial"/>
          <w:color w:val="000000"/>
          <w:lang w:val="es-ES" w:eastAsia="es-ES"/>
        </w:rPr>
        <w:t xml:space="preserve"> </w:t>
      </w:r>
      <w:r w:rsidRPr="00EA07E6">
        <w:rPr>
          <w:rFonts w:ascii="Century Gothic" w:hAnsi="Century Gothic" w:cs="Arial"/>
          <w:color w:val="000000"/>
          <w:lang w:val="es-ES" w:eastAsia="es-ES"/>
        </w:rPr>
        <w:t xml:space="preserve">Anunciado entre otras fechas, el </w:t>
      </w:r>
      <w:r w:rsidR="00040AC1">
        <w:rPr>
          <w:rFonts w:ascii="Century Gothic" w:hAnsi="Century Gothic" w:cs="Arial"/>
          <w:color w:val="000000"/>
          <w:lang w:val="es-ES" w:eastAsia="es-ES"/>
        </w:rPr>
        <w:t>21</w:t>
      </w:r>
      <w:r w:rsidR="00063133">
        <w:rPr>
          <w:rFonts w:ascii="Century Gothic" w:hAnsi="Century Gothic" w:cs="Arial"/>
          <w:color w:val="000000"/>
          <w:lang w:val="es-ES" w:eastAsia="es-ES"/>
        </w:rPr>
        <w:t xml:space="preserve"> de septiembre</w:t>
      </w:r>
      <w:bookmarkStart w:id="0" w:name="_GoBack"/>
      <w:bookmarkEnd w:id="0"/>
      <w:r w:rsidR="001E0A8D" w:rsidRPr="00EA07E6">
        <w:rPr>
          <w:rFonts w:ascii="Century Gothic" w:hAnsi="Century Gothic" w:cs="Arial"/>
          <w:color w:val="000000"/>
          <w:lang w:val="es-ES" w:eastAsia="es-ES"/>
        </w:rPr>
        <w:t xml:space="preserve"> de 2021 </w:t>
      </w:r>
      <w:r w:rsidRPr="00EA07E6">
        <w:rPr>
          <w:rFonts w:ascii="Century Gothic" w:hAnsi="Century Gothic" w:cs="Arial"/>
          <w:color w:val="000000"/>
          <w:lang w:val="es-ES" w:eastAsia="es-ES"/>
        </w:rPr>
        <w:t xml:space="preserve">según consta en Acta No. </w:t>
      </w:r>
      <w:r w:rsidR="00040AC1">
        <w:rPr>
          <w:rFonts w:ascii="Century Gothic" w:hAnsi="Century Gothic" w:cs="Arial"/>
          <w:color w:val="000000"/>
          <w:lang w:val="es-ES" w:eastAsia="es-ES"/>
        </w:rPr>
        <w:t>16</w:t>
      </w:r>
      <w:r w:rsidRPr="00EA07E6">
        <w:rPr>
          <w:rFonts w:ascii="Century Gothic" w:hAnsi="Century Gothic" w:cs="Arial"/>
          <w:color w:val="000000"/>
          <w:lang w:val="es-ES" w:eastAsia="es-ES"/>
        </w:rPr>
        <w:t xml:space="preserve"> de </w:t>
      </w:r>
      <w:r w:rsidR="00525DDD" w:rsidRPr="00EA07E6">
        <w:rPr>
          <w:rFonts w:ascii="Century Gothic" w:hAnsi="Century Gothic" w:cs="Arial"/>
          <w:color w:val="000000"/>
          <w:lang w:val="es-ES" w:eastAsia="es-ES"/>
        </w:rPr>
        <w:t>S</w:t>
      </w:r>
      <w:r w:rsidRPr="00EA07E6">
        <w:rPr>
          <w:rFonts w:ascii="Century Gothic" w:hAnsi="Century Gothic" w:cs="Arial"/>
          <w:color w:val="000000"/>
          <w:lang w:val="es-ES" w:eastAsia="es-ES"/>
        </w:rPr>
        <w:t xml:space="preserve">esión </w:t>
      </w:r>
      <w:r w:rsidR="001E0A8D" w:rsidRPr="00EA07E6">
        <w:rPr>
          <w:rFonts w:ascii="Century Gothic" w:hAnsi="Century Gothic" w:cs="Arial"/>
          <w:color w:val="000000"/>
          <w:lang w:val="es-ES" w:eastAsia="es-ES"/>
        </w:rPr>
        <w:t>Presencial</w:t>
      </w:r>
      <w:r w:rsidR="00040AC1">
        <w:rPr>
          <w:rFonts w:ascii="Century Gothic" w:hAnsi="Century Gothic" w:cs="Arial"/>
          <w:color w:val="000000"/>
          <w:lang w:val="es-ES" w:eastAsia="es-ES"/>
        </w:rPr>
        <w:t>.</w:t>
      </w:r>
      <w:r w:rsidR="001E0A8D" w:rsidRPr="00EA07E6">
        <w:rPr>
          <w:rFonts w:ascii="Century Gothic" w:eastAsia="Times New Roman" w:hAnsi="Century Gothic" w:cs="Arial"/>
          <w:b/>
          <w:color w:val="000000"/>
          <w:lang w:eastAsia="es-CO"/>
        </w:rPr>
        <w:t xml:space="preserve"> </w:t>
      </w:r>
    </w:p>
    <w:p w14:paraId="0B78667B" w14:textId="77777777" w:rsidR="00A01C1A" w:rsidRDefault="00A01C1A" w:rsidP="00503E9D">
      <w:pPr>
        <w:spacing w:before="45" w:after="15" w:line="276" w:lineRule="auto"/>
        <w:ind w:right="30"/>
        <w:jc w:val="both"/>
        <w:rPr>
          <w:rFonts w:ascii="Century Gothic" w:eastAsia="Times New Roman" w:hAnsi="Century Gothic" w:cs="Arial"/>
          <w:b/>
          <w:color w:val="000000"/>
          <w:lang w:eastAsia="es-CO"/>
        </w:rPr>
      </w:pPr>
    </w:p>
    <w:p w14:paraId="37D7DF0F" w14:textId="77777777" w:rsidR="0005585D" w:rsidRPr="00EA07E6" w:rsidRDefault="0005585D" w:rsidP="00503E9D">
      <w:pPr>
        <w:spacing w:before="45" w:after="15" w:line="276" w:lineRule="auto"/>
        <w:ind w:right="30"/>
        <w:jc w:val="both"/>
        <w:rPr>
          <w:rFonts w:ascii="Century Gothic" w:eastAsia="Times New Roman" w:hAnsi="Century Gothic" w:cs="Arial"/>
          <w:b/>
          <w:color w:val="000000"/>
          <w:lang w:eastAsia="es-CO"/>
        </w:rPr>
      </w:pPr>
    </w:p>
    <w:p w14:paraId="41258C4D" w14:textId="77777777" w:rsidR="00E529CC" w:rsidRDefault="00E529CC" w:rsidP="004F2831">
      <w:pPr>
        <w:spacing w:before="45" w:after="15" w:line="240" w:lineRule="auto"/>
        <w:ind w:right="30"/>
        <w:jc w:val="both"/>
        <w:rPr>
          <w:rFonts w:ascii="Century Gothic" w:eastAsia="Times New Roman" w:hAnsi="Century Gothic" w:cs="Arial"/>
          <w:b/>
          <w:color w:val="000000"/>
          <w:lang w:eastAsia="es-CO"/>
        </w:rPr>
      </w:pPr>
    </w:p>
    <w:p w14:paraId="58844A73" w14:textId="77777777" w:rsidR="00E529CC" w:rsidRDefault="00E529CC" w:rsidP="004F2831">
      <w:pPr>
        <w:spacing w:before="45" w:after="15" w:line="240" w:lineRule="auto"/>
        <w:ind w:right="30"/>
        <w:jc w:val="both"/>
        <w:rPr>
          <w:rFonts w:ascii="Century Gothic" w:eastAsia="Times New Roman" w:hAnsi="Century Gothic" w:cs="Arial"/>
          <w:b/>
          <w:color w:val="000000"/>
          <w:lang w:eastAsia="es-CO"/>
        </w:rPr>
      </w:pPr>
    </w:p>
    <w:p w14:paraId="29260AA9" w14:textId="7CD0A0AB" w:rsidR="004F2831" w:rsidRPr="00EA07E6" w:rsidRDefault="00040AC1" w:rsidP="004F2831">
      <w:pPr>
        <w:spacing w:before="45" w:after="15" w:line="240" w:lineRule="auto"/>
        <w:ind w:right="30"/>
        <w:jc w:val="both"/>
        <w:rPr>
          <w:rFonts w:ascii="Century Gothic" w:eastAsia="Times New Roman" w:hAnsi="Century Gothic" w:cs="Arial"/>
          <w:b/>
          <w:color w:val="000000"/>
          <w:lang w:eastAsia="es-CO"/>
        </w:rPr>
      </w:pPr>
      <w:r>
        <w:rPr>
          <w:rFonts w:ascii="Century Gothic" w:eastAsia="Times New Roman" w:hAnsi="Century Gothic" w:cs="Arial"/>
          <w:b/>
          <w:color w:val="000000"/>
          <w:lang w:eastAsia="es-CO"/>
        </w:rPr>
        <w:t>ADRIANA M. MATÍZ VARGAS</w:t>
      </w:r>
      <w:r w:rsidR="00312721" w:rsidRPr="00EA07E6">
        <w:rPr>
          <w:rFonts w:ascii="Century Gothic" w:eastAsia="Times New Roman" w:hAnsi="Century Gothic" w:cs="Arial"/>
          <w:b/>
          <w:color w:val="000000"/>
          <w:lang w:eastAsia="es-CO"/>
        </w:rPr>
        <w:tab/>
      </w:r>
      <w:r w:rsidR="00312721" w:rsidRPr="00EA07E6">
        <w:rPr>
          <w:rFonts w:ascii="Century Gothic" w:eastAsia="Times New Roman" w:hAnsi="Century Gothic" w:cs="Arial"/>
          <w:b/>
          <w:color w:val="000000"/>
          <w:lang w:eastAsia="es-CO"/>
        </w:rPr>
        <w:tab/>
        <w:t xml:space="preserve"> </w:t>
      </w:r>
      <w:r>
        <w:rPr>
          <w:rFonts w:ascii="Century Gothic" w:eastAsia="Times New Roman" w:hAnsi="Century Gothic" w:cs="Arial"/>
          <w:b/>
          <w:color w:val="000000"/>
          <w:lang w:eastAsia="es-CO"/>
        </w:rPr>
        <w:t xml:space="preserve">    JULIO CÉSAR TRIANA QUINTERO</w:t>
      </w:r>
    </w:p>
    <w:p w14:paraId="7D0C364E" w14:textId="07ACDFAF" w:rsidR="00654984" w:rsidRPr="00EA07E6" w:rsidRDefault="001E0A8D" w:rsidP="004F2831">
      <w:pPr>
        <w:spacing w:before="45" w:after="15" w:line="240" w:lineRule="auto"/>
        <w:ind w:right="30"/>
        <w:jc w:val="both"/>
        <w:rPr>
          <w:rFonts w:ascii="Century Gothic" w:eastAsia="Times New Roman" w:hAnsi="Century Gothic" w:cs="Arial"/>
          <w:b/>
          <w:color w:val="000000"/>
          <w:lang w:eastAsia="es-CO"/>
        </w:rPr>
      </w:pPr>
      <w:r w:rsidRPr="00EA07E6">
        <w:rPr>
          <w:rFonts w:ascii="Century Gothic" w:eastAsia="Times New Roman" w:hAnsi="Century Gothic" w:cs="Arial"/>
          <w:color w:val="000000"/>
          <w:lang w:eastAsia="es-CO"/>
        </w:rPr>
        <w:t>Ponente Coordinador</w:t>
      </w:r>
      <w:r w:rsidR="00040AC1">
        <w:rPr>
          <w:rFonts w:ascii="Century Gothic" w:eastAsia="Times New Roman" w:hAnsi="Century Gothic" w:cs="Arial"/>
          <w:color w:val="000000"/>
          <w:lang w:eastAsia="es-CO"/>
        </w:rPr>
        <w:t>a</w:t>
      </w:r>
      <w:r w:rsidR="00040AC1">
        <w:rPr>
          <w:rFonts w:ascii="Century Gothic" w:eastAsia="Times New Roman" w:hAnsi="Century Gothic" w:cs="Arial"/>
          <w:color w:val="000000"/>
          <w:lang w:eastAsia="es-CO"/>
        </w:rPr>
        <w:tab/>
      </w:r>
      <w:r w:rsidR="00040AC1">
        <w:rPr>
          <w:rFonts w:ascii="Century Gothic" w:eastAsia="Times New Roman" w:hAnsi="Century Gothic" w:cs="Arial"/>
          <w:color w:val="000000"/>
          <w:lang w:eastAsia="es-CO"/>
        </w:rPr>
        <w:tab/>
      </w:r>
      <w:r w:rsidR="00040AC1">
        <w:rPr>
          <w:rFonts w:ascii="Century Gothic" w:eastAsia="Times New Roman" w:hAnsi="Century Gothic" w:cs="Arial"/>
          <w:color w:val="000000"/>
          <w:lang w:eastAsia="es-CO"/>
        </w:rPr>
        <w:tab/>
        <w:t xml:space="preserve">     Presidente</w:t>
      </w:r>
    </w:p>
    <w:p w14:paraId="588C3E94" w14:textId="437453B4" w:rsidR="00BF34E3" w:rsidRDefault="00BF34E3" w:rsidP="004F2831">
      <w:pPr>
        <w:spacing w:before="45" w:after="15" w:line="240" w:lineRule="auto"/>
        <w:ind w:right="30"/>
        <w:jc w:val="both"/>
        <w:rPr>
          <w:rFonts w:ascii="Century Gothic" w:eastAsia="Times New Roman" w:hAnsi="Century Gothic" w:cs="Arial"/>
          <w:color w:val="000000"/>
          <w:lang w:eastAsia="es-CO"/>
        </w:rPr>
      </w:pPr>
    </w:p>
    <w:p w14:paraId="6F950BCD" w14:textId="77777777" w:rsidR="0005585D" w:rsidRPr="00EA07E6" w:rsidRDefault="0005585D" w:rsidP="004F2831">
      <w:pPr>
        <w:spacing w:before="45" w:after="15" w:line="240" w:lineRule="auto"/>
        <w:ind w:right="30"/>
        <w:jc w:val="both"/>
        <w:rPr>
          <w:rFonts w:ascii="Century Gothic" w:eastAsia="Times New Roman" w:hAnsi="Century Gothic" w:cs="Arial"/>
          <w:color w:val="000000"/>
          <w:lang w:eastAsia="es-CO"/>
        </w:rPr>
      </w:pPr>
    </w:p>
    <w:p w14:paraId="252F1FD4" w14:textId="77777777" w:rsidR="0008366E" w:rsidRPr="00EA07E6" w:rsidRDefault="0008366E" w:rsidP="004F2831">
      <w:pPr>
        <w:spacing w:before="45" w:after="15" w:line="240" w:lineRule="auto"/>
        <w:ind w:right="30"/>
        <w:jc w:val="both"/>
        <w:rPr>
          <w:rFonts w:ascii="Century Gothic" w:eastAsia="Times New Roman" w:hAnsi="Century Gothic" w:cs="Arial"/>
          <w:color w:val="000000"/>
          <w:lang w:eastAsia="es-CO"/>
        </w:rPr>
      </w:pPr>
    </w:p>
    <w:p w14:paraId="43A150AA" w14:textId="77777777" w:rsidR="00A01C1A" w:rsidRPr="00EA07E6" w:rsidRDefault="00A01C1A" w:rsidP="004F2831">
      <w:pPr>
        <w:spacing w:before="45" w:after="15" w:line="240" w:lineRule="auto"/>
        <w:ind w:right="30"/>
        <w:jc w:val="both"/>
        <w:rPr>
          <w:rFonts w:ascii="Century Gothic" w:eastAsia="Times New Roman" w:hAnsi="Century Gothic" w:cs="Arial"/>
          <w:color w:val="000000"/>
          <w:lang w:eastAsia="es-CO"/>
        </w:rPr>
      </w:pPr>
    </w:p>
    <w:p w14:paraId="0012ACE4" w14:textId="5D40A1A0" w:rsidR="00654984" w:rsidRPr="00EA07E6" w:rsidRDefault="00312721" w:rsidP="00312721">
      <w:pPr>
        <w:spacing w:before="45" w:after="15" w:line="240" w:lineRule="auto"/>
        <w:ind w:left="2124" w:right="30"/>
        <w:jc w:val="both"/>
        <w:rPr>
          <w:rFonts w:ascii="Century Gothic" w:eastAsia="Times New Roman" w:hAnsi="Century Gothic" w:cs="Arial"/>
          <w:b/>
          <w:color w:val="000000"/>
          <w:lang w:eastAsia="es-CO"/>
        </w:rPr>
      </w:pPr>
      <w:r w:rsidRPr="00EA07E6">
        <w:rPr>
          <w:rFonts w:ascii="Century Gothic" w:eastAsia="Times New Roman" w:hAnsi="Century Gothic" w:cs="Arial"/>
          <w:b/>
          <w:color w:val="000000"/>
          <w:lang w:eastAsia="es-CO"/>
        </w:rPr>
        <w:t xml:space="preserve">    </w:t>
      </w:r>
      <w:r w:rsidR="00654984" w:rsidRPr="00EA07E6">
        <w:rPr>
          <w:rFonts w:ascii="Century Gothic" w:eastAsia="Times New Roman" w:hAnsi="Century Gothic" w:cs="Arial"/>
          <w:b/>
          <w:color w:val="000000"/>
          <w:lang w:eastAsia="es-CO"/>
        </w:rPr>
        <w:t>AMPARO Y. CALDERON PERDOM</w:t>
      </w:r>
      <w:r w:rsidRPr="00EA07E6">
        <w:rPr>
          <w:rFonts w:ascii="Century Gothic" w:eastAsia="Times New Roman" w:hAnsi="Century Gothic" w:cs="Arial"/>
          <w:b/>
          <w:color w:val="000000"/>
          <w:lang w:eastAsia="es-CO"/>
        </w:rPr>
        <w:t>O</w:t>
      </w:r>
      <w:r w:rsidR="00654984" w:rsidRPr="00EA07E6">
        <w:rPr>
          <w:rFonts w:ascii="Century Gothic" w:eastAsia="Times New Roman" w:hAnsi="Century Gothic" w:cs="Arial"/>
          <w:color w:val="000000"/>
          <w:lang w:eastAsia="es-CO"/>
        </w:rPr>
        <w:tab/>
      </w:r>
      <w:r w:rsidR="004F2831" w:rsidRPr="00EA07E6">
        <w:rPr>
          <w:rFonts w:ascii="Century Gothic" w:eastAsia="Times New Roman" w:hAnsi="Century Gothic" w:cs="Arial"/>
          <w:color w:val="000000"/>
          <w:lang w:eastAsia="es-CO"/>
        </w:rPr>
        <w:t xml:space="preserve">                       </w:t>
      </w:r>
      <w:r w:rsidR="00654984" w:rsidRPr="00EA07E6">
        <w:rPr>
          <w:rFonts w:ascii="Century Gothic" w:eastAsia="Times New Roman" w:hAnsi="Century Gothic" w:cs="Arial"/>
          <w:color w:val="000000"/>
          <w:lang w:eastAsia="es-CO"/>
        </w:rPr>
        <w:tab/>
      </w:r>
      <w:r w:rsidR="00654984" w:rsidRPr="00EA07E6">
        <w:rPr>
          <w:rFonts w:ascii="Century Gothic" w:eastAsia="Times New Roman" w:hAnsi="Century Gothic" w:cs="Arial"/>
          <w:color w:val="000000"/>
          <w:lang w:eastAsia="es-CO"/>
        </w:rPr>
        <w:tab/>
      </w:r>
      <w:r w:rsidR="0008366E" w:rsidRPr="00EA07E6">
        <w:rPr>
          <w:rFonts w:ascii="Century Gothic" w:eastAsia="Times New Roman" w:hAnsi="Century Gothic" w:cs="Arial"/>
          <w:color w:val="000000"/>
          <w:lang w:eastAsia="es-CO"/>
        </w:rPr>
        <w:t xml:space="preserve">          </w:t>
      </w:r>
      <w:r w:rsidR="00D10F3D" w:rsidRPr="00EA07E6">
        <w:rPr>
          <w:rFonts w:ascii="Century Gothic" w:eastAsia="Times New Roman" w:hAnsi="Century Gothic" w:cs="Arial"/>
          <w:color w:val="000000"/>
          <w:lang w:eastAsia="es-CO"/>
        </w:rPr>
        <w:t xml:space="preserve">        </w:t>
      </w:r>
      <w:r w:rsidR="00D8350D" w:rsidRPr="00EA07E6">
        <w:rPr>
          <w:rFonts w:ascii="Century Gothic" w:eastAsia="Times New Roman" w:hAnsi="Century Gothic" w:cs="Arial"/>
          <w:color w:val="000000"/>
          <w:lang w:eastAsia="es-CO"/>
        </w:rPr>
        <w:t xml:space="preserve">  </w:t>
      </w:r>
      <w:r w:rsidR="00C30F89" w:rsidRPr="00EA07E6">
        <w:rPr>
          <w:rFonts w:ascii="Century Gothic" w:eastAsia="Times New Roman" w:hAnsi="Century Gothic" w:cs="Arial"/>
          <w:color w:val="000000"/>
          <w:lang w:eastAsia="es-CO"/>
        </w:rPr>
        <w:t xml:space="preserve">  </w:t>
      </w:r>
      <w:r w:rsidR="00D8350D" w:rsidRPr="00EA07E6">
        <w:rPr>
          <w:rFonts w:ascii="Century Gothic" w:eastAsia="Times New Roman" w:hAnsi="Century Gothic" w:cs="Arial"/>
          <w:color w:val="000000"/>
          <w:lang w:eastAsia="es-CO"/>
        </w:rPr>
        <w:t xml:space="preserve"> </w:t>
      </w:r>
      <w:r w:rsidRPr="00EA07E6">
        <w:rPr>
          <w:rFonts w:ascii="Century Gothic" w:eastAsia="Times New Roman" w:hAnsi="Century Gothic" w:cs="Arial"/>
          <w:color w:val="000000"/>
          <w:lang w:eastAsia="es-CO"/>
        </w:rPr>
        <w:t xml:space="preserve">         </w:t>
      </w:r>
    </w:p>
    <w:p w14:paraId="2DD7F02A" w14:textId="2506F34C" w:rsidR="00D04ABA" w:rsidRPr="00EA07E6" w:rsidRDefault="00312721" w:rsidP="004F2831">
      <w:pPr>
        <w:spacing w:before="45" w:after="15" w:line="240" w:lineRule="auto"/>
        <w:ind w:right="30"/>
        <w:jc w:val="both"/>
        <w:rPr>
          <w:rFonts w:ascii="Century Gothic" w:eastAsia="Times New Roman" w:hAnsi="Century Gothic" w:cs="Arial"/>
          <w:b/>
          <w:bCs/>
          <w:color w:val="000000"/>
          <w:lang w:eastAsia="es-CO"/>
        </w:rPr>
        <w:sectPr w:rsidR="00D04ABA" w:rsidRPr="00EA07E6"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r w:rsidRPr="00EA07E6">
        <w:rPr>
          <w:rFonts w:ascii="Century Gothic" w:eastAsia="Times New Roman" w:hAnsi="Century Gothic" w:cs="Arial"/>
          <w:color w:val="000000"/>
          <w:lang w:eastAsia="es-CO"/>
        </w:rPr>
        <w:tab/>
      </w:r>
      <w:r w:rsidRPr="00EA07E6">
        <w:rPr>
          <w:rFonts w:ascii="Century Gothic" w:eastAsia="Times New Roman" w:hAnsi="Century Gothic" w:cs="Arial"/>
          <w:color w:val="000000"/>
          <w:lang w:eastAsia="es-CO"/>
        </w:rPr>
        <w:tab/>
      </w:r>
      <w:r w:rsidRPr="00EA07E6">
        <w:rPr>
          <w:rFonts w:ascii="Century Gothic" w:eastAsia="Times New Roman" w:hAnsi="Century Gothic" w:cs="Arial"/>
          <w:color w:val="000000"/>
          <w:lang w:eastAsia="es-CO"/>
        </w:rPr>
        <w:tab/>
      </w:r>
      <w:r w:rsidRPr="00EA07E6">
        <w:rPr>
          <w:rFonts w:ascii="Century Gothic" w:eastAsia="Times New Roman" w:hAnsi="Century Gothic" w:cs="Arial"/>
          <w:color w:val="000000"/>
          <w:lang w:eastAsia="es-CO"/>
        </w:rPr>
        <w:tab/>
        <w:t xml:space="preserve">             </w:t>
      </w:r>
      <w:r w:rsidR="00AE26AF" w:rsidRPr="00EA07E6">
        <w:rPr>
          <w:rFonts w:ascii="Century Gothic" w:eastAsia="Times New Roman" w:hAnsi="Century Gothic" w:cs="Arial"/>
          <w:color w:val="000000"/>
          <w:lang w:eastAsia="es-CO"/>
        </w:rPr>
        <w:t xml:space="preserve"> Secretaria           </w:t>
      </w:r>
      <w:r w:rsidR="00AE26AF" w:rsidRPr="00EA07E6">
        <w:rPr>
          <w:rFonts w:ascii="Century Gothic" w:eastAsia="Times New Roman" w:hAnsi="Century Gothic" w:cs="Arial"/>
          <w:color w:val="000000"/>
          <w:lang w:eastAsia="es-CO"/>
        </w:rPr>
        <w:tab/>
      </w:r>
    </w:p>
    <w:p w14:paraId="50254D14" w14:textId="77777777" w:rsidR="008E061B" w:rsidRPr="00EA07E6" w:rsidRDefault="008E061B" w:rsidP="00D04ABA">
      <w:pPr>
        <w:spacing w:before="45" w:after="15" w:line="276" w:lineRule="auto"/>
        <w:ind w:right="30"/>
        <w:jc w:val="both"/>
        <w:rPr>
          <w:rFonts w:ascii="Century Gothic" w:eastAsia="Times New Roman" w:hAnsi="Century Gothic" w:cs="Arial"/>
          <w:color w:val="000000"/>
          <w:lang w:eastAsia="es-CO"/>
        </w:rPr>
      </w:pPr>
    </w:p>
    <w:sectPr w:rsidR="008E061B" w:rsidRPr="00EA07E6"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3978E" w14:textId="77777777" w:rsidR="00460BB0" w:rsidRDefault="00460BB0" w:rsidP="00F464B3">
      <w:pPr>
        <w:spacing w:after="0" w:line="240" w:lineRule="auto"/>
      </w:pPr>
      <w:r>
        <w:separator/>
      </w:r>
    </w:p>
  </w:endnote>
  <w:endnote w:type="continuationSeparator" w:id="0">
    <w:p w14:paraId="3CC60E8B" w14:textId="77777777" w:rsidR="00460BB0" w:rsidRDefault="00460BB0"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3024" w14:textId="77777777" w:rsidR="00560475" w:rsidRDefault="005604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77582"/>
      <w:docPartObj>
        <w:docPartGallery w:val="Page Numbers (Bottom of Page)"/>
        <w:docPartUnique/>
      </w:docPartObj>
    </w:sdtPr>
    <w:sdtEndPr/>
    <w:sdtContent>
      <w:p w14:paraId="4CC91950" w14:textId="0D583751" w:rsidR="00560475" w:rsidRDefault="00560475">
        <w:pPr>
          <w:pStyle w:val="Piedepgina"/>
          <w:jc w:val="right"/>
        </w:pPr>
        <w:r>
          <w:fldChar w:fldCharType="begin"/>
        </w:r>
        <w:r>
          <w:instrText>PAGE   \* MERGEFORMAT</w:instrText>
        </w:r>
        <w:r>
          <w:fldChar w:fldCharType="separate"/>
        </w:r>
        <w:r w:rsidR="00063133" w:rsidRPr="00063133">
          <w:rPr>
            <w:noProof/>
            <w:lang w:val="es-ES"/>
          </w:rPr>
          <w:t>7</w:t>
        </w:r>
        <w:r>
          <w:fldChar w:fldCharType="end"/>
        </w:r>
      </w:p>
    </w:sdtContent>
  </w:sdt>
  <w:p w14:paraId="51ADA584" w14:textId="77777777" w:rsidR="00560475" w:rsidRDefault="005604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52832" w14:textId="77777777" w:rsidR="00560475" w:rsidRDefault="005604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8C6CB" w14:textId="77777777" w:rsidR="00460BB0" w:rsidRDefault="00460BB0" w:rsidP="00F464B3">
      <w:pPr>
        <w:spacing w:after="0" w:line="240" w:lineRule="auto"/>
      </w:pPr>
      <w:r>
        <w:separator/>
      </w:r>
    </w:p>
  </w:footnote>
  <w:footnote w:type="continuationSeparator" w:id="0">
    <w:p w14:paraId="32580A00" w14:textId="77777777" w:rsidR="00460BB0" w:rsidRDefault="00460BB0"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6EA7" w14:textId="77777777" w:rsidR="00560475" w:rsidRDefault="005604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3E99" w14:textId="77777777" w:rsidR="00560475" w:rsidRDefault="00560475" w:rsidP="00EC63B6">
    <w:pPr>
      <w:pStyle w:val="Encabezado"/>
      <w:jc w:val="center"/>
    </w:pPr>
    <w:r>
      <w:rPr>
        <w:noProof/>
        <w:lang w:eastAsia="es-CO"/>
      </w:rPr>
      <w:drawing>
        <wp:inline distT="0" distB="0" distL="0" distR="0" wp14:anchorId="4424CA66" wp14:editId="52757F20">
          <wp:extent cx="2286000" cy="670956"/>
          <wp:effectExtent l="0" t="0" r="0" b="0"/>
          <wp:docPr id="1" name="Imagen 1"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560475" w:rsidRDefault="00560475" w:rsidP="00EC63B6">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6C1D2" w14:textId="77777777" w:rsidR="00560475" w:rsidRDefault="005604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422"/>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1000F29"/>
    <w:multiLevelType w:val="hybridMultilevel"/>
    <w:tmpl w:val="555069D6"/>
    <w:numStyleLink w:val="Estiloimportado9"/>
  </w:abstractNum>
  <w:abstractNum w:abstractNumId="3">
    <w:nsid w:val="03951DA5"/>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D897C86"/>
    <w:multiLevelType w:val="hybridMultilevel"/>
    <w:tmpl w:val="44109B24"/>
    <w:numStyleLink w:val="Estiloimportado18"/>
  </w:abstractNum>
  <w:abstractNum w:abstractNumId="7">
    <w:nsid w:val="0F5B5736"/>
    <w:multiLevelType w:val="hybridMultilevel"/>
    <w:tmpl w:val="98AA3430"/>
    <w:numStyleLink w:val="Estiloimportado13"/>
  </w:abstractNum>
  <w:abstractNum w:abstractNumId="8">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10D5753"/>
    <w:multiLevelType w:val="hybridMultilevel"/>
    <w:tmpl w:val="EB5840A0"/>
    <w:numStyleLink w:val="Estiloimportado22"/>
  </w:abstractNum>
  <w:abstractNum w:abstractNumId="11">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22A777E"/>
    <w:multiLevelType w:val="hybridMultilevel"/>
    <w:tmpl w:val="80304CB6"/>
    <w:numStyleLink w:val="Estiloimportado50"/>
  </w:abstractNum>
  <w:abstractNum w:abstractNumId="13">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B3F012C"/>
    <w:multiLevelType w:val="hybridMultilevel"/>
    <w:tmpl w:val="6DE0C044"/>
    <w:numStyleLink w:val="Estiloimportado28"/>
  </w:abstractNum>
  <w:abstractNum w:abstractNumId="19">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CD12C48"/>
    <w:multiLevelType w:val="hybridMultilevel"/>
    <w:tmpl w:val="29C4C752"/>
    <w:numStyleLink w:val="Estiloimportado37"/>
  </w:abstractNum>
  <w:abstractNum w:abstractNumId="21">
    <w:nsid w:val="1D70795A"/>
    <w:multiLevelType w:val="hybridMultilevel"/>
    <w:tmpl w:val="C4BC1C9A"/>
    <w:numStyleLink w:val="Estiloimportado39"/>
  </w:abstractNum>
  <w:abstractNum w:abstractNumId="2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1EEF794B"/>
    <w:multiLevelType w:val="hybridMultilevel"/>
    <w:tmpl w:val="1F86D7D0"/>
    <w:numStyleLink w:val="Estiloimportado16"/>
  </w:abstractNum>
  <w:abstractNum w:abstractNumId="24">
    <w:nsid w:val="1F7168E3"/>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37A3428"/>
    <w:multiLevelType w:val="hybridMultilevel"/>
    <w:tmpl w:val="E6F00438"/>
    <w:numStyleLink w:val="Estiloimportado19"/>
  </w:abstractNum>
  <w:abstractNum w:abstractNumId="28">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252E0899"/>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554489B"/>
    <w:multiLevelType w:val="hybridMultilevel"/>
    <w:tmpl w:val="BF8004FA"/>
    <w:numStyleLink w:val="Estiloimportado14"/>
  </w:abstractNum>
  <w:abstractNum w:abstractNumId="31">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831123C"/>
    <w:multiLevelType w:val="hybridMultilevel"/>
    <w:tmpl w:val="01C8D242"/>
    <w:numStyleLink w:val="Estiloimportado47"/>
  </w:abstractNum>
  <w:abstractNum w:abstractNumId="33">
    <w:nsid w:val="290F5F98"/>
    <w:multiLevelType w:val="hybridMultilevel"/>
    <w:tmpl w:val="44027326"/>
    <w:numStyleLink w:val="Estiloimportado45"/>
  </w:abstractNum>
  <w:abstractNum w:abstractNumId="34">
    <w:nsid w:val="29AA12D9"/>
    <w:multiLevelType w:val="hybridMultilevel"/>
    <w:tmpl w:val="4800A7B8"/>
    <w:numStyleLink w:val="Estiloimportado49"/>
  </w:abstractNum>
  <w:abstractNum w:abstractNumId="35">
    <w:nsid w:val="2A9C6035"/>
    <w:multiLevelType w:val="hybridMultilevel"/>
    <w:tmpl w:val="B01EDA4A"/>
    <w:numStyleLink w:val="Estiloimportado44"/>
  </w:abstractNum>
  <w:abstractNum w:abstractNumId="36">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2D7A65B4"/>
    <w:multiLevelType w:val="hybridMultilevel"/>
    <w:tmpl w:val="F8C8CFE0"/>
    <w:numStyleLink w:val="Estiloimportado29"/>
  </w:abstractNum>
  <w:abstractNum w:abstractNumId="4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2EA4753A"/>
    <w:multiLevelType w:val="hybridMultilevel"/>
    <w:tmpl w:val="65D8ACF8"/>
    <w:numStyleLink w:val="Estiloimportado41"/>
  </w:abstractNum>
  <w:abstractNum w:abstractNumId="44">
    <w:nsid w:val="2ED673B2"/>
    <w:multiLevelType w:val="hybridMultilevel"/>
    <w:tmpl w:val="898C5A40"/>
    <w:numStyleLink w:val="Estiloimportado11"/>
  </w:abstractNum>
  <w:abstractNum w:abstractNumId="45">
    <w:nsid w:val="30823593"/>
    <w:multiLevelType w:val="hybridMultilevel"/>
    <w:tmpl w:val="24C4F11A"/>
    <w:numStyleLink w:val="Estiloimportado10"/>
  </w:abstractNum>
  <w:abstractNum w:abstractNumId="4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35F70190"/>
    <w:multiLevelType w:val="hybridMultilevel"/>
    <w:tmpl w:val="8474FA54"/>
    <w:numStyleLink w:val="Estiloimportado42"/>
  </w:abstractNum>
  <w:abstractNum w:abstractNumId="48">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3C856B46"/>
    <w:multiLevelType w:val="hybridMultilevel"/>
    <w:tmpl w:val="218EC8F4"/>
    <w:numStyleLink w:val="Estiloimportado35"/>
  </w:abstractNum>
  <w:abstractNum w:abstractNumId="51">
    <w:nsid w:val="3E4636F9"/>
    <w:multiLevelType w:val="hybridMultilevel"/>
    <w:tmpl w:val="52889C24"/>
    <w:numStyleLink w:val="Estiloimportado20"/>
  </w:abstractNum>
  <w:abstractNum w:abstractNumId="52">
    <w:nsid w:val="3E4A5783"/>
    <w:multiLevelType w:val="hybridMultilevel"/>
    <w:tmpl w:val="1F067C10"/>
    <w:numStyleLink w:val="Estiloimportado34"/>
  </w:abstractNum>
  <w:abstractNum w:abstractNumId="53">
    <w:nsid w:val="3EE16E02"/>
    <w:multiLevelType w:val="hybridMultilevel"/>
    <w:tmpl w:val="C8EC7CC4"/>
    <w:numStyleLink w:val="Estiloimportado38"/>
  </w:abstractNum>
  <w:abstractNum w:abstractNumId="54">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451E4C27"/>
    <w:multiLevelType w:val="hybridMultilevel"/>
    <w:tmpl w:val="F4EA5638"/>
    <w:numStyleLink w:val="Estiloimportado33"/>
  </w:abstractNum>
  <w:abstractNum w:abstractNumId="57">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8">
    <w:nsid w:val="481625AE"/>
    <w:multiLevelType w:val="hybridMultilevel"/>
    <w:tmpl w:val="463AB4E4"/>
    <w:numStyleLink w:val="Estiloimportado51"/>
  </w:abstractNum>
  <w:abstractNum w:abstractNumId="59">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4CC328B0"/>
    <w:multiLevelType w:val="hybridMultilevel"/>
    <w:tmpl w:val="00A0539A"/>
    <w:numStyleLink w:val="Estiloimportado21"/>
  </w:abstractNum>
  <w:abstractNum w:abstractNumId="61">
    <w:nsid w:val="4F8B3E5E"/>
    <w:multiLevelType w:val="hybridMultilevel"/>
    <w:tmpl w:val="236AEA58"/>
    <w:numStyleLink w:val="Estiloimportado26"/>
  </w:abstractNum>
  <w:abstractNum w:abstractNumId="62">
    <w:nsid w:val="517F3159"/>
    <w:multiLevelType w:val="hybridMultilevel"/>
    <w:tmpl w:val="1004AA52"/>
    <w:numStyleLink w:val="Estiloimportado52"/>
  </w:abstractNum>
  <w:abstractNum w:abstractNumId="63">
    <w:nsid w:val="51A62173"/>
    <w:multiLevelType w:val="hybridMultilevel"/>
    <w:tmpl w:val="87BA761C"/>
    <w:numStyleLink w:val="Estiloimportado27"/>
  </w:abstractNum>
  <w:abstractNum w:abstractNumId="64">
    <w:nsid w:val="51CA6A6A"/>
    <w:multiLevelType w:val="hybridMultilevel"/>
    <w:tmpl w:val="8686602E"/>
    <w:numStyleLink w:val="Estiloimportado40"/>
  </w:abstractNum>
  <w:abstractNum w:abstractNumId="65">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6">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nsid w:val="595F64A0"/>
    <w:multiLevelType w:val="hybridMultilevel"/>
    <w:tmpl w:val="C08A0ECA"/>
    <w:numStyleLink w:val="Estiloimportado25"/>
  </w:abstractNum>
  <w:abstractNum w:abstractNumId="69">
    <w:nsid w:val="598477AB"/>
    <w:multiLevelType w:val="hybridMultilevel"/>
    <w:tmpl w:val="CEC84BFE"/>
    <w:numStyleLink w:val="Estiloimportado53"/>
  </w:abstractNum>
  <w:abstractNum w:abstractNumId="7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nsid w:val="59E5753B"/>
    <w:multiLevelType w:val="hybridMultilevel"/>
    <w:tmpl w:val="059CA788"/>
    <w:numStyleLink w:val="Estiloimportado12"/>
  </w:abstractNum>
  <w:abstractNum w:abstractNumId="72">
    <w:nsid w:val="5ADC6AEA"/>
    <w:multiLevelType w:val="hybridMultilevel"/>
    <w:tmpl w:val="D9EA98E2"/>
    <w:numStyleLink w:val="Estiloimportado46"/>
  </w:abstractNum>
  <w:abstractNum w:abstractNumId="73">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nsid w:val="5DFC5A33"/>
    <w:multiLevelType w:val="hybridMultilevel"/>
    <w:tmpl w:val="6DF2644A"/>
    <w:numStyleLink w:val="Estiloimportado15"/>
  </w:abstractNum>
  <w:abstractNum w:abstractNumId="76">
    <w:nsid w:val="60351AB2"/>
    <w:multiLevelType w:val="hybridMultilevel"/>
    <w:tmpl w:val="A3A8FCF2"/>
    <w:numStyleLink w:val="Estiloimportado31"/>
  </w:abstractNum>
  <w:abstractNum w:abstractNumId="77">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8">
    <w:nsid w:val="61542172"/>
    <w:multiLevelType w:val="hybridMultilevel"/>
    <w:tmpl w:val="7A34A9E4"/>
    <w:numStyleLink w:val="Estiloimportado23"/>
  </w:abstractNum>
  <w:abstractNum w:abstractNumId="79">
    <w:nsid w:val="63503F30"/>
    <w:multiLevelType w:val="hybridMultilevel"/>
    <w:tmpl w:val="DB3AFCEE"/>
    <w:numStyleLink w:val="Estiloimportado36"/>
  </w:abstractNum>
  <w:abstractNum w:abstractNumId="80">
    <w:nsid w:val="63DA5D77"/>
    <w:multiLevelType w:val="hybridMultilevel"/>
    <w:tmpl w:val="A562132E"/>
    <w:numStyleLink w:val="Estiloimportado48"/>
  </w:abstractNum>
  <w:abstractNum w:abstractNumId="81">
    <w:nsid w:val="658B5989"/>
    <w:multiLevelType w:val="hybridMultilevel"/>
    <w:tmpl w:val="52A8909E"/>
    <w:numStyleLink w:val="Estiloimportado54"/>
  </w:abstractNum>
  <w:abstractNum w:abstractNumId="82">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3">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4">
    <w:nsid w:val="683B7582"/>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5">
    <w:nsid w:val="68E13C51"/>
    <w:multiLevelType w:val="hybridMultilevel"/>
    <w:tmpl w:val="7F2E69A2"/>
    <w:numStyleLink w:val="Estiloimportado24"/>
  </w:abstractNum>
  <w:abstractNum w:abstractNumId="86">
    <w:nsid w:val="6B9A3271"/>
    <w:multiLevelType w:val="hybridMultilevel"/>
    <w:tmpl w:val="F94C7DC2"/>
    <w:numStyleLink w:val="Estiloimportado43"/>
  </w:abstractNum>
  <w:abstractNum w:abstractNumId="87">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8">
    <w:nsid w:val="6E644357"/>
    <w:multiLevelType w:val="hybridMultilevel"/>
    <w:tmpl w:val="7CBCDB22"/>
    <w:numStyleLink w:val="Estiloimportado30"/>
  </w:abstractNum>
  <w:abstractNum w:abstractNumId="8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nsid w:val="73D74C4B"/>
    <w:multiLevelType w:val="hybridMultilevel"/>
    <w:tmpl w:val="85467682"/>
    <w:numStyleLink w:val="Estiloimportado32"/>
  </w:abstractNum>
  <w:abstractNum w:abstractNumId="9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7">
    <w:nsid w:val="7A4B71CA"/>
    <w:multiLevelType w:val="hybridMultilevel"/>
    <w:tmpl w:val="3948F0A0"/>
    <w:numStyleLink w:val="Estiloimportado17"/>
  </w:abstractNum>
  <w:abstractNum w:abstractNumId="9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6"/>
  </w:num>
  <w:num w:numId="2">
    <w:abstractNumId w:val="57"/>
  </w:num>
  <w:num w:numId="3">
    <w:abstractNumId w:val="65"/>
  </w:num>
  <w:num w:numId="4">
    <w:abstractNumId w:val="40"/>
  </w:num>
  <w:num w:numId="5">
    <w:abstractNumId w:val="54"/>
  </w:num>
  <w:num w:numId="6">
    <w:abstractNumId w:val="73"/>
  </w:num>
  <w:num w:numId="7">
    <w:abstractNumId w:val="2"/>
  </w:num>
  <w:num w:numId="8">
    <w:abstractNumId w:val="96"/>
  </w:num>
  <w:num w:numId="9">
    <w:abstractNumId w:val="45"/>
  </w:num>
  <w:num w:numId="10">
    <w:abstractNumId w:val="11"/>
  </w:num>
  <w:num w:numId="11">
    <w:abstractNumId w:val="44"/>
  </w:num>
  <w:num w:numId="12">
    <w:abstractNumId w:val="45"/>
    <w:lvlOverride w:ilvl="0">
      <w:startOverride w:val="2"/>
    </w:lvlOverride>
  </w:num>
  <w:num w:numId="13">
    <w:abstractNumId w:val="14"/>
  </w:num>
  <w:num w:numId="14">
    <w:abstractNumId w:val="71"/>
  </w:num>
  <w:num w:numId="15">
    <w:abstractNumId w:val="67"/>
  </w:num>
  <w:num w:numId="16">
    <w:abstractNumId w:val="7"/>
  </w:num>
  <w:num w:numId="17">
    <w:abstractNumId w:val="77"/>
  </w:num>
  <w:num w:numId="18">
    <w:abstractNumId w:val="30"/>
  </w:num>
  <w:num w:numId="19">
    <w:abstractNumId w:val="83"/>
  </w:num>
  <w:num w:numId="20">
    <w:abstractNumId w:val="75"/>
  </w:num>
  <w:num w:numId="21">
    <w:abstractNumId w:val="74"/>
  </w:num>
  <w:num w:numId="22">
    <w:abstractNumId w:val="23"/>
  </w:num>
  <w:num w:numId="23">
    <w:abstractNumId w:val="92"/>
  </w:num>
  <w:num w:numId="24">
    <w:abstractNumId w:val="97"/>
  </w:num>
  <w:num w:numId="25">
    <w:abstractNumId w:val="70"/>
  </w:num>
  <w:num w:numId="26">
    <w:abstractNumId w:val="6"/>
  </w:num>
  <w:num w:numId="27">
    <w:abstractNumId w:val="17"/>
  </w:num>
  <w:num w:numId="28">
    <w:abstractNumId w:val="27"/>
  </w:num>
  <w:num w:numId="29">
    <w:abstractNumId w:val="13"/>
  </w:num>
  <w:num w:numId="30">
    <w:abstractNumId w:val="51"/>
  </w:num>
  <w:num w:numId="31">
    <w:abstractNumId w:val="26"/>
  </w:num>
  <w:num w:numId="32">
    <w:abstractNumId w:val="60"/>
  </w:num>
  <w:num w:numId="33">
    <w:abstractNumId w:val="28"/>
  </w:num>
  <w:num w:numId="34">
    <w:abstractNumId w:val="10"/>
  </w:num>
  <w:num w:numId="35">
    <w:abstractNumId w:val="94"/>
  </w:num>
  <w:num w:numId="36">
    <w:abstractNumId w:val="78"/>
  </w:num>
  <w:num w:numId="37">
    <w:abstractNumId w:val="48"/>
  </w:num>
  <w:num w:numId="38">
    <w:abstractNumId w:val="85"/>
  </w:num>
  <w:num w:numId="39">
    <w:abstractNumId w:val="98"/>
  </w:num>
  <w:num w:numId="40">
    <w:abstractNumId w:val="68"/>
    <w:lvlOverride w:ilvl="0">
      <w:startOverride w:val="15"/>
    </w:lvlOverride>
  </w:num>
  <w:num w:numId="41">
    <w:abstractNumId w:val="38"/>
  </w:num>
  <w:num w:numId="42">
    <w:abstractNumId w:val="61"/>
  </w:num>
  <w:num w:numId="43">
    <w:abstractNumId w:val="9"/>
  </w:num>
  <w:num w:numId="44">
    <w:abstractNumId w:val="63"/>
  </w:num>
  <w:num w:numId="45">
    <w:abstractNumId w:val="5"/>
  </w:num>
  <w:num w:numId="46">
    <w:abstractNumId w:val="18"/>
    <w:lvlOverride w:ilvl="0">
      <w:startOverride w:val="2"/>
    </w:lvlOverride>
  </w:num>
  <w:num w:numId="47">
    <w:abstractNumId w:val="37"/>
  </w:num>
  <w:num w:numId="48">
    <w:abstractNumId w:val="39"/>
  </w:num>
  <w:num w:numId="49">
    <w:abstractNumId w:val="89"/>
  </w:num>
  <w:num w:numId="50">
    <w:abstractNumId w:val="88"/>
  </w:num>
  <w:num w:numId="51">
    <w:abstractNumId w:val="31"/>
  </w:num>
  <w:num w:numId="52">
    <w:abstractNumId w:val="76"/>
  </w:num>
  <w:num w:numId="53">
    <w:abstractNumId w:val="100"/>
  </w:num>
  <w:num w:numId="54">
    <w:abstractNumId w:val="93"/>
  </w:num>
  <w:num w:numId="55">
    <w:abstractNumId w:val="99"/>
  </w:num>
  <w:num w:numId="56">
    <w:abstractNumId w:val="56"/>
  </w:num>
  <w:num w:numId="57">
    <w:abstractNumId w:val="49"/>
  </w:num>
  <w:num w:numId="58">
    <w:abstractNumId w:val="52"/>
  </w:num>
  <w:num w:numId="59">
    <w:abstractNumId w:val="87"/>
  </w:num>
  <w:num w:numId="60">
    <w:abstractNumId w:val="50"/>
  </w:num>
  <w:num w:numId="61">
    <w:abstractNumId w:val="19"/>
  </w:num>
  <w:num w:numId="62">
    <w:abstractNumId w:val="79"/>
  </w:num>
  <w:num w:numId="63">
    <w:abstractNumId w:val="22"/>
  </w:num>
  <w:num w:numId="64">
    <w:abstractNumId w:val="20"/>
  </w:num>
  <w:num w:numId="65">
    <w:abstractNumId w:val="90"/>
  </w:num>
  <w:num w:numId="66">
    <w:abstractNumId w:val="53"/>
  </w:num>
  <w:num w:numId="67">
    <w:abstractNumId w:val="91"/>
  </w:num>
  <w:num w:numId="68">
    <w:abstractNumId w:val="21"/>
  </w:num>
  <w:num w:numId="69">
    <w:abstractNumId w:val="101"/>
  </w:num>
  <w:num w:numId="70">
    <w:abstractNumId w:val="64"/>
  </w:num>
  <w:num w:numId="71">
    <w:abstractNumId w:val="25"/>
  </w:num>
  <w:num w:numId="72">
    <w:abstractNumId w:val="43"/>
  </w:num>
  <w:num w:numId="73">
    <w:abstractNumId w:val="41"/>
  </w:num>
  <w:num w:numId="74">
    <w:abstractNumId w:val="47"/>
  </w:num>
  <w:num w:numId="75">
    <w:abstractNumId w:val="46"/>
  </w:num>
  <w:num w:numId="76">
    <w:abstractNumId w:val="86"/>
  </w:num>
  <w:num w:numId="77">
    <w:abstractNumId w:val="55"/>
  </w:num>
  <w:num w:numId="78">
    <w:abstractNumId w:val="35"/>
  </w:num>
  <w:num w:numId="79">
    <w:abstractNumId w:val="82"/>
  </w:num>
  <w:num w:numId="80">
    <w:abstractNumId w:val="33"/>
  </w:num>
  <w:num w:numId="81">
    <w:abstractNumId w:val="59"/>
  </w:num>
  <w:num w:numId="82">
    <w:abstractNumId w:val="72"/>
  </w:num>
  <w:num w:numId="83">
    <w:abstractNumId w:val="36"/>
  </w:num>
  <w:num w:numId="84">
    <w:abstractNumId w:val="32"/>
  </w:num>
  <w:num w:numId="85">
    <w:abstractNumId w:val="42"/>
  </w:num>
  <w:num w:numId="86">
    <w:abstractNumId w:val="80"/>
  </w:num>
  <w:num w:numId="87">
    <w:abstractNumId w:val="80"/>
    <w:lvlOverride w:ilvl="0">
      <w:lvl w:ilvl="0" w:tplc="F288EC46">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F2A2C3EC">
        <w:start w:val="1"/>
        <w:numFmt w:val="lowerRoman"/>
        <w:lvlText w:val="%2)"/>
        <w:lvlJc w:val="left"/>
        <w:pPr>
          <w:ind w:left="854"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C89EA8">
        <w:start w:val="1"/>
        <w:numFmt w:val="lowerRoman"/>
        <w:lvlText w:val="%3)"/>
        <w:lvlJc w:val="left"/>
        <w:pPr>
          <w:ind w:left="924"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045982">
        <w:start w:val="1"/>
        <w:numFmt w:val="lowerRoman"/>
        <w:lvlText w:val="%4)"/>
        <w:lvlJc w:val="left"/>
        <w:pPr>
          <w:ind w:left="994" w:hanging="4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7622FC">
        <w:start w:val="1"/>
        <w:numFmt w:val="lowerRoman"/>
        <w:lvlText w:val="%5)"/>
        <w:lvlJc w:val="left"/>
        <w:pPr>
          <w:ind w:left="1064"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66FD8C">
        <w:start w:val="1"/>
        <w:numFmt w:val="lowerRoman"/>
        <w:lvlText w:val="%6)"/>
        <w:lvlJc w:val="left"/>
        <w:pPr>
          <w:ind w:left="1134" w:hanging="3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C8AE3A">
        <w:start w:val="1"/>
        <w:numFmt w:val="lowerRoman"/>
        <w:lvlText w:val="%7)"/>
        <w:lvlJc w:val="left"/>
        <w:pPr>
          <w:ind w:left="1204"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0E567E">
        <w:start w:val="1"/>
        <w:numFmt w:val="lowerRoman"/>
        <w:suff w:val="nothing"/>
        <w:lvlText w:val="%8)"/>
        <w:lvlJc w:val="left"/>
        <w:pPr>
          <w:ind w:left="1274" w:hanging="1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8010A0">
        <w:start w:val="1"/>
        <w:numFmt w:val="lowerRoman"/>
        <w:lvlText w:val="%9)"/>
        <w:lvlJc w:val="left"/>
        <w:pPr>
          <w:ind w:left="1344" w:hanging="8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95"/>
  </w:num>
  <w:num w:numId="89">
    <w:abstractNumId w:val="34"/>
  </w:num>
  <w:num w:numId="90">
    <w:abstractNumId w:val="16"/>
  </w:num>
  <w:num w:numId="91">
    <w:abstractNumId w:val="12"/>
  </w:num>
  <w:num w:numId="92">
    <w:abstractNumId w:val="1"/>
  </w:num>
  <w:num w:numId="93">
    <w:abstractNumId w:val="58"/>
  </w:num>
  <w:num w:numId="94">
    <w:abstractNumId w:val="8"/>
  </w:num>
  <w:num w:numId="95">
    <w:abstractNumId w:val="62"/>
  </w:num>
  <w:num w:numId="96">
    <w:abstractNumId w:val="4"/>
  </w:num>
  <w:num w:numId="97">
    <w:abstractNumId w:val="69"/>
  </w:num>
  <w:num w:numId="98">
    <w:abstractNumId w:val="15"/>
  </w:num>
  <w:num w:numId="99">
    <w:abstractNumId w:val="81"/>
  </w:num>
  <w:num w:numId="100">
    <w:abstractNumId w:val="0"/>
  </w:num>
  <w:num w:numId="101">
    <w:abstractNumId w:val="29"/>
  </w:num>
  <w:num w:numId="102">
    <w:abstractNumId w:val="24"/>
  </w:num>
  <w:num w:numId="103">
    <w:abstractNumId w:val="84"/>
  </w:num>
  <w:num w:numId="104">
    <w:abstractNumId w:val="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24B8"/>
    <w:rsid w:val="0001436C"/>
    <w:rsid w:val="000179F1"/>
    <w:rsid w:val="0002009E"/>
    <w:rsid w:val="00020D63"/>
    <w:rsid w:val="0002764E"/>
    <w:rsid w:val="00034368"/>
    <w:rsid w:val="000347ED"/>
    <w:rsid w:val="000400EE"/>
    <w:rsid w:val="00040AC1"/>
    <w:rsid w:val="0004655B"/>
    <w:rsid w:val="00050437"/>
    <w:rsid w:val="0005585D"/>
    <w:rsid w:val="000603D3"/>
    <w:rsid w:val="00063133"/>
    <w:rsid w:val="000643FE"/>
    <w:rsid w:val="000674CE"/>
    <w:rsid w:val="00076C38"/>
    <w:rsid w:val="0008050D"/>
    <w:rsid w:val="0008366E"/>
    <w:rsid w:val="00083C33"/>
    <w:rsid w:val="00094E9C"/>
    <w:rsid w:val="0009516F"/>
    <w:rsid w:val="000A7951"/>
    <w:rsid w:val="000B6F96"/>
    <w:rsid w:val="000B7BA1"/>
    <w:rsid w:val="000B7FC7"/>
    <w:rsid w:val="000C04C0"/>
    <w:rsid w:val="000C07C9"/>
    <w:rsid w:val="000C1779"/>
    <w:rsid w:val="000C3A6D"/>
    <w:rsid w:val="000C51CB"/>
    <w:rsid w:val="000E11C2"/>
    <w:rsid w:val="000E2CB1"/>
    <w:rsid w:val="000E4E9C"/>
    <w:rsid w:val="000F0D59"/>
    <w:rsid w:val="00102396"/>
    <w:rsid w:val="001051B9"/>
    <w:rsid w:val="0010767F"/>
    <w:rsid w:val="00111BA6"/>
    <w:rsid w:val="00112E25"/>
    <w:rsid w:val="00113C7F"/>
    <w:rsid w:val="001176BD"/>
    <w:rsid w:val="0012211D"/>
    <w:rsid w:val="00124F86"/>
    <w:rsid w:val="0012607A"/>
    <w:rsid w:val="001412D4"/>
    <w:rsid w:val="00143359"/>
    <w:rsid w:val="00146466"/>
    <w:rsid w:val="0015426D"/>
    <w:rsid w:val="0015512A"/>
    <w:rsid w:val="0015777F"/>
    <w:rsid w:val="001645A1"/>
    <w:rsid w:val="00170E01"/>
    <w:rsid w:val="00171B5A"/>
    <w:rsid w:val="00175521"/>
    <w:rsid w:val="00180D52"/>
    <w:rsid w:val="00187BDB"/>
    <w:rsid w:val="001B11A0"/>
    <w:rsid w:val="001B24AF"/>
    <w:rsid w:val="001B3073"/>
    <w:rsid w:val="001C443E"/>
    <w:rsid w:val="001C4B0B"/>
    <w:rsid w:val="001E0A8D"/>
    <w:rsid w:val="001E1FFE"/>
    <w:rsid w:val="001E3F0C"/>
    <w:rsid w:val="001F1366"/>
    <w:rsid w:val="001F3415"/>
    <w:rsid w:val="00203BAF"/>
    <w:rsid w:val="00204548"/>
    <w:rsid w:val="00232EEB"/>
    <w:rsid w:val="002419BE"/>
    <w:rsid w:val="002446B7"/>
    <w:rsid w:val="0025745F"/>
    <w:rsid w:val="00265C75"/>
    <w:rsid w:val="00266F05"/>
    <w:rsid w:val="00271232"/>
    <w:rsid w:val="0027373B"/>
    <w:rsid w:val="00275203"/>
    <w:rsid w:val="002769F8"/>
    <w:rsid w:val="00281E60"/>
    <w:rsid w:val="00283BF7"/>
    <w:rsid w:val="00294C57"/>
    <w:rsid w:val="002960E0"/>
    <w:rsid w:val="00296DD2"/>
    <w:rsid w:val="002A630F"/>
    <w:rsid w:val="002B0A6E"/>
    <w:rsid w:val="002B3FA6"/>
    <w:rsid w:val="002B5DE3"/>
    <w:rsid w:val="002B7BC5"/>
    <w:rsid w:val="002C2736"/>
    <w:rsid w:val="002C313D"/>
    <w:rsid w:val="002D36BF"/>
    <w:rsid w:val="002F2A40"/>
    <w:rsid w:val="002F570D"/>
    <w:rsid w:val="002F603A"/>
    <w:rsid w:val="003048FD"/>
    <w:rsid w:val="00310BD0"/>
    <w:rsid w:val="00312721"/>
    <w:rsid w:val="00316E7C"/>
    <w:rsid w:val="00321E0D"/>
    <w:rsid w:val="003455CB"/>
    <w:rsid w:val="00352BB2"/>
    <w:rsid w:val="00353A29"/>
    <w:rsid w:val="003572F2"/>
    <w:rsid w:val="003652A3"/>
    <w:rsid w:val="00370333"/>
    <w:rsid w:val="00371367"/>
    <w:rsid w:val="003729B1"/>
    <w:rsid w:val="00374B50"/>
    <w:rsid w:val="003756F8"/>
    <w:rsid w:val="00376461"/>
    <w:rsid w:val="003775E6"/>
    <w:rsid w:val="003831CF"/>
    <w:rsid w:val="003877D7"/>
    <w:rsid w:val="00397DD8"/>
    <w:rsid w:val="003B2CD7"/>
    <w:rsid w:val="003B470F"/>
    <w:rsid w:val="003B79F3"/>
    <w:rsid w:val="003C4873"/>
    <w:rsid w:val="003C550A"/>
    <w:rsid w:val="003D37C7"/>
    <w:rsid w:val="003F22E4"/>
    <w:rsid w:val="003F7482"/>
    <w:rsid w:val="00403989"/>
    <w:rsid w:val="004325B6"/>
    <w:rsid w:val="00435772"/>
    <w:rsid w:val="0045788D"/>
    <w:rsid w:val="00460BB0"/>
    <w:rsid w:val="004721F2"/>
    <w:rsid w:val="00472F92"/>
    <w:rsid w:val="004747EE"/>
    <w:rsid w:val="0048299A"/>
    <w:rsid w:val="00484D12"/>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13DF8"/>
    <w:rsid w:val="00522F83"/>
    <w:rsid w:val="005235AD"/>
    <w:rsid w:val="0052444F"/>
    <w:rsid w:val="00525DDD"/>
    <w:rsid w:val="00534203"/>
    <w:rsid w:val="00535D72"/>
    <w:rsid w:val="00536B96"/>
    <w:rsid w:val="00540083"/>
    <w:rsid w:val="00541008"/>
    <w:rsid w:val="0054647E"/>
    <w:rsid w:val="005517F3"/>
    <w:rsid w:val="005560E6"/>
    <w:rsid w:val="00560475"/>
    <w:rsid w:val="00574941"/>
    <w:rsid w:val="00582813"/>
    <w:rsid w:val="0058657B"/>
    <w:rsid w:val="00596397"/>
    <w:rsid w:val="005A3D78"/>
    <w:rsid w:val="005A576B"/>
    <w:rsid w:val="005A5952"/>
    <w:rsid w:val="005B2210"/>
    <w:rsid w:val="005B2C51"/>
    <w:rsid w:val="005B4EAE"/>
    <w:rsid w:val="005C0843"/>
    <w:rsid w:val="005C0A22"/>
    <w:rsid w:val="005C5BAD"/>
    <w:rsid w:val="005C7D3E"/>
    <w:rsid w:val="005D2F81"/>
    <w:rsid w:val="005D314D"/>
    <w:rsid w:val="005D3C35"/>
    <w:rsid w:val="005E4DAD"/>
    <w:rsid w:val="005F3B9E"/>
    <w:rsid w:val="005F5FEC"/>
    <w:rsid w:val="00601F0E"/>
    <w:rsid w:val="00602BDE"/>
    <w:rsid w:val="00607725"/>
    <w:rsid w:val="006158AE"/>
    <w:rsid w:val="00620F0B"/>
    <w:rsid w:val="00622AB2"/>
    <w:rsid w:val="006343BF"/>
    <w:rsid w:val="00637688"/>
    <w:rsid w:val="006417DE"/>
    <w:rsid w:val="00642EF5"/>
    <w:rsid w:val="006438E1"/>
    <w:rsid w:val="00647512"/>
    <w:rsid w:val="00647A02"/>
    <w:rsid w:val="00654984"/>
    <w:rsid w:val="00657AE7"/>
    <w:rsid w:val="006641DF"/>
    <w:rsid w:val="00665A9C"/>
    <w:rsid w:val="006724A9"/>
    <w:rsid w:val="0067281A"/>
    <w:rsid w:val="0067455E"/>
    <w:rsid w:val="0067641E"/>
    <w:rsid w:val="0067740C"/>
    <w:rsid w:val="0068080C"/>
    <w:rsid w:val="00682C1C"/>
    <w:rsid w:val="0068369B"/>
    <w:rsid w:val="00690A5E"/>
    <w:rsid w:val="006915E1"/>
    <w:rsid w:val="0069258E"/>
    <w:rsid w:val="0069360F"/>
    <w:rsid w:val="00696073"/>
    <w:rsid w:val="006B58CF"/>
    <w:rsid w:val="006C244C"/>
    <w:rsid w:val="006C3E27"/>
    <w:rsid w:val="006D07D4"/>
    <w:rsid w:val="006D23D9"/>
    <w:rsid w:val="006D7439"/>
    <w:rsid w:val="006E0408"/>
    <w:rsid w:val="006E2BB9"/>
    <w:rsid w:val="006F1E48"/>
    <w:rsid w:val="006F2E70"/>
    <w:rsid w:val="006F2F0E"/>
    <w:rsid w:val="006F309E"/>
    <w:rsid w:val="00704C38"/>
    <w:rsid w:val="0071209F"/>
    <w:rsid w:val="00730794"/>
    <w:rsid w:val="00736FFD"/>
    <w:rsid w:val="00747ABC"/>
    <w:rsid w:val="0075240B"/>
    <w:rsid w:val="007538D4"/>
    <w:rsid w:val="0077125D"/>
    <w:rsid w:val="00773E0C"/>
    <w:rsid w:val="007870F9"/>
    <w:rsid w:val="00791092"/>
    <w:rsid w:val="007A44E4"/>
    <w:rsid w:val="007A618A"/>
    <w:rsid w:val="007A640D"/>
    <w:rsid w:val="007B4F50"/>
    <w:rsid w:val="007B65AD"/>
    <w:rsid w:val="007C5724"/>
    <w:rsid w:val="007C74A7"/>
    <w:rsid w:val="007D21A4"/>
    <w:rsid w:val="007D3408"/>
    <w:rsid w:val="007E0D9F"/>
    <w:rsid w:val="007E2712"/>
    <w:rsid w:val="007F0C6E"/>
    <w:rsid w:val="007F1D24"/>
    <w:rsid w:val="00810675"/>
    <w:rsid w:val="00813DE7"/>
    <w:rsid w:val="00815277"/>
    <w:rsid w:val="00823EC1"/>
    <w:rsid w:val="00834B6E"/>
    <w:rsid w:val="008356B7"/>
    <w:rsid w:val="008468BF"/>
    <w:rsid w:val="00851377"/>
    <w:rsid w:val="00852190"/>
    <w:rsid w:val="0085285E"/>
    <w:rsid w:val="00856B0E"/>
    <w:rsid w:val="0085794F"/>
    <w:rsid w:val="0086374C"/>
    <w:rsid w:val="00863BBB"/>
    <w:rsid w:val="00863D4B"/>
    <w:rsid w:val="0087039C"/>
    <w:rsid w:val="00871444"/>
    <w:rsid w:val="008857A6"/>
    <w:rsid w:val="00896F08"/>
    <w:rsid w:val="008C3F1F"/>
    <w:rsid w:val="008D2ED6"/>
    <w:rsid w:val="008D3094"/>
    <w:rsid w:val="008D5E3D"/>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637DF"/>
    <w:rsid w:val="00963E30"/>
    <w:rsid w:val="00971E04"/>
    <w:rsid w:val="00973EBB"/>
    <w:rsid w:val="00974898"/>
    <w:rsid w:val="009824EF"/>
    <w:rsid w:val="00984F42"/>
    <w:rsid w:val="009932F1"/>
    <w:rsid w:val="00993BB4"/>
    <w:rsid w:val="009A5162"/>
    <w:rsid w:val="009B645A"/>
    <w:rsid w:val="009D5F41"/>
    <w:rsid w:val="009E0346"/>
    <w:rsid w:val="009E41A8"/>
    <w:rsid w:val="009E55C7"/>
    <w:rsid w:val="009F0E10"/>
    <w:rsid w:val="00A00489"/>
    <w:rsid w:val="00A01305"/>
    <w:rsid w:val="00A01C1A"/>
    <w:rsid w:val="00A0558D"/>
    <w:rsid w:val="00A113B3"/>
    <w:rsid w:val="00A11E04"/>
    <w:rsid w:val="00A13C08"/>
    <w:rsid w:val="00A14CAC"/>
    <w:rsid w:val="00A177FA"/>
    <w:rsid w:val="00A41B7B"/>
    <w:rsid w:val="00A46A7B"/>
    <w:rsid w:val="00A47B51"/>
    <w:rsid w:val="00A52DC6"/>
    <w:rsid w:val="00A570C6"/>
    <w:rsid w:val="00A574C3"/>
    <w:rsid w:val="00A63F97"/>
    <w:rsid w:val="00A67478"/>
    <w:rsid w:val="00A75565"/>
    <w:rsid w:val="00A80428"/>
    <w:rsid w:val="00A83DAE"/>
    <w:rsid w:val="00A92EFE"/>
    <w:rsid w:val="00AA3DC5"/>
    <w:rsid w:val="00AB0713"/>
    <w:rsid w:val="00AC2BEA"/>
    <w:rsid w:val="00AC585F"/>
    <w:rsid w:val="00AD02C7"/>
    <w:rsid w:val="00AE120F"/>
    <w:rsid w:val="00AE1255"/>
    <w:rsid w:val="00AE1660"/>
    <w:rsid w:val="00AE26AF"/>
    <w:rsid w:val="00AF5978"/>
    <w:rsid w:val="00B06E58"/>
    <w:rsid w:val="00B12865"/>
    <w:rsid w:val="00B17C11"/>
    <w:rsid w:val="00B2028B"/>
    <w:rsid w:val="00B303DE"/>
    <w:rsid w:val="00B30A0D"/>
    <w:rsid w:val="00B32722"/>
    <w:rsid w:val="00B3777F"/>
    <w:rsid w:val="00B41FCE"/>
    <w:rsid w:val="00B4471F"/>
    <w:rsid w:val="00B54B57"/>
    <w:rsid w:val="00B63D2A"/>
    <w:rsid w:val="00B64D54"/>
    <w:rsid w:val="00B75203"/>
    <w:rsid w:val="00B86149"/>
    <w:rsid w:val="00B90EBE"/>
    <w:rsid w:val="00B928FF"/>
    <w:rsid w:val="00B95C60"/>
    <w:rsid w:val="00B965E5"/>
    <w:rsid w:val="00BA0A1A"/>
    <w:rsid w:val="00BA2BBE"/>
    <w:rsid w:val="00BA4E0B"/>
    <w:rsid w:val="00BB3A4B"/>
    <w:rsid w:val="00BB5149"/>
    <w:rsid w:val="00BC36CC"/>
    <w:rsid w:val="00BC73C8"/>
    <w:rsid w:val="00BD76A5"/>
    <w:rsid w:val="00BE1480"/>
    <w:rsid w:val="00BE4D05"/>
    <w:rsid w:val="00BE5428"/>
    <w:rsid w:val="00BE634C"/>
    <w:rsid w:val="00BF34E3"/>
    <w:rsid w:val="00BF4F92"/>
    <w:rsid w:val="00BF60B5"/>
    <w:rsid w:val="00BF6C85"/>
    <w:rsid w:val="00C00899"/>
    <w:rsid w:val="00C01196"/>
    <w:rsid w:val="00C05986"/>
    <w:rsid w:val="00C05FE9"/>
    <w:rsid w:val="00C114EC"/>
    <w:rsid w:val="00C13EA7"/>
    <w:rsid w:val="00C1423F"/>
    <w:rsid w:val="00C1685A"/>
    <w:rsid w:val="00C23433"/>
    <w:rsid w:val="00C23F57"/>
    <w:rsid w:val="00C24FC2"/>
    <w:rsid w:val="00C30F89"/>
    <w:rsid w:val="00C34BD1"/>
    <w:rsid w:val="00C34F2A"/>
    <w:rsid w:val="00C414F2"/>
    <w:rsid w:val="00C64899"/>
    <w:rsid w:val="00C66652"/>
    <w:rsid w:val="00C7069C"/>
    <w:rsid w:val="00C711D9"/>
    <w:rsid w:val="00C73EE9"/>
    <w:rsid w:val="00C75C7B"/>
    <w:rsid w:val="00C8272B"/>
    <w:rsid w:val="00C84633"/>
    <w:rsid w:val="00C92D50"/>
    <w:rsid w:val="00C96031"/>
    <w:rsid w:val="00C960C4"/>
    <w:rsid w:val="00CA1934"/>
    <w:rsid w:val="00CA4DEE"/>
    <w:rsid w:val="00CC21CA"/>
    <w:rsid w:val="00CC3C18"/>
    <w:rsid w:val="00CC7223"/>
    <w:rsid w:val="00CD421B"/>
    <w:rsid w:val="00CD6675"/>
    <w:rsid w:val="00CE41FA"/>
    <w:rsid w:val="00CE4225"/>
    <w:rsid w:val="00CF3981"/>
    <w:rsid w:val="00CF4328"/>
    <w:rsid w:val="00CF672B"/>
    <w:rsid w:val="00D0215B"/>
    <w:rsid w:val="00D02286"/>
    <w:rsid w:val="00D04ABA"/>
    <w:rsid w:val="00D10F3D"/>
    <w:rsid w:val="00D10FDD"/>
    <w:rsid w:val="00D123B8"/>
    <w:rsid w:val="00D17891"/>
    <w:rsid w:val="00D23552"/>
    <w:rsid w:val="00D27E9F"/>
    <w:rsid w:val="00D30881"/>
    <w:rsid w:val="00D3392D"/>
    <w:rsid w:val="00D35426"/>
    <w:rsid w:val="00D45EBF"/>
    <w:rsid w:val="00D54F91"/>
    <w:rsid w:val="00D56956"/>
    <w:rsid w:val="00D612E9"/>
    <w:rsid w:val="00D63FF4"/>
    <w:rsid w:val="00D756CE"/>
    <w:rsid w:val="00D80A76"/>
    <w:rsid w:val="00D810CB"/>
    <w:rsid w:val="00D8350D"/>
    <w:rsid w:val="00DA2698"/>
    <w:rsid w:val="00DA3876"/>
    <w:rsid w:val="00DB34C5"/>
    <w:rsid w:val="00DB693E"/>
    <w:rsid w:val="00DC2ED4"/>
    <w:rsid w:val="00DC6A81"/>
    <w:rsid w:val="00DC6DE7"/>
    <w:rsid w:val="00DC7559"/>
    <w:rsid w:val="00DC7DDC"/>
    <w:rsid w:val="00DD654D"/>
    <w:rsid w:val="00DD7587"/>
    <w:rsid w:val="00DE4AB3"/>
    <w:rsid w:val="00E03E9B"/>
    <w:rsid w:val="00E12387"/>
    <w:rsid w:val="00E15245"/>
    <w:rsid w:val="00E325C3"/>
    <w:rsid w:val="00E34C58"/>
    <w:rsid w:val="00E359F6"/>
    <w:rsid w:val="00E470B0"/>
    <w:rsid w:val="00E529CC"/>
    <w:rsid w:val="00E53447"/>
    <w:rsid w:val="00E85BF5"/>
    <w:rsid w:val="00E90030"/>
    <w:rsid w:val="00EA07E6"/>
    <w:rsid w:val="00EA320A"/>
    <w:rsid w:val="00EB2682"/>
    <w:rsid w:val="00EB3EBD"/>
    <w:rsid w:val="00EC34C5"/>
    <w:rsid w:val="00EC4FC9"/>
    <w:rsid w:val="00EC58FE"/>
    <w:rsid w:val="00EC63B6"/>
    <w:rsid w:val="00EC7055"/>
    <w:rsid w:val="00ED50C3"/>
    <w:rsid w:val="00ED5628"/>
    <w:rsid w:val="00EE56A4"/>
    <w:rsid w:val="00EE74ED"/>
    <w:rsid w:val="00EE78B1"/>
    <w:rsid w:val="00EF0082"/>
    <w:rsid w:val="00EF39A3"/>
    <w:rsid w:val="00EF6CBD"/>
    <w:rsid w:val="00EF7F49"/>
    <w:rsid w:val="00F256CE"/>
    <w:rsid w:val="00F3324F"/>
    <w:rsid w:val="00F44E71"/>
    <w:rsid w:val="00F464B3"/>
    <w:rsid w:val="00F6249F"/>
    <w:rsid w:val="00F641B8"/>
    <w:rsid w:val="00F650A3"/>
    <w:rsid w:val="00F74A1B"/>
    <w:rsid w:val="00F762D8"/>
    <w:rsid w:val="00F77611"/>
    <w:rsid w:val="00FB65AE"/>
    <w:rsid w:val="00FB74BA"/>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
    <w:link w:val="Prrafodelista"/>
    <w:uiPriority w:val="34"/>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8"/>
      </w:numPr>
    </w:pPr>
  </w:style>
  <w:style w:type="numbering" w:customStyle="1" w:styleId="Estiloimportado11">
    <w:name w:val="Estilo importado 11"/>
    <w:rsid w:val="00B3777F"/>
    <w:pPr>
      <w:numPr>
        <w:numId w:val="10"/>
      </w:numPr>
    </w:pPr>
  </w:style>
  <w:style w:type="numbering" w:customStyle="1" w:styleId="Estiloimportado12">
    <w:name w:val="Estilo importado 12"/>
    <w:rsid w:val="00B3777F"/>
    <w:pPr>
      <w:numPr>
        <w:numId w:val="13"/>
      </w:numPr>
    </w:pPr>
  </w:style>
  <w:style w:type="numbering" w:customStyle="1" w:styleId="Estiloimportado13">
    <w:name w:val="Estilo importado 13"/>
    <w:rsid w:val="00B3777F"/>
    <w:pPr>
      <w:numPr>
        <w:numId w:val="15"/>
      </w:numPr>
    </w:pPr>
  </w:style>
  <w:style w:type="numbering" w:customStyle="1" w:styleId="Estiloimportado14">
    <w:name w:val="Estilo importado 14"/>
    <w:rsid w:val="00B3777F"/>
    <w:pPr>
      <w:numPr>
        <w:numId w:val="17"/>
      </w:numPr>
    </w:pPr>
  </w:style>
  <w:style w:type="numbering" w:customStyle="1" w:styleId="Estiloimportado15">
    <w:name w:val="Estilo importado 15"/>
    <w:rsid w:val="00B3777F"/>
    <w:pPr>
      <w:numPr>
        <w:numId w:val="19"/>
      </w:numPr>
    </w:pPr>
  </w:style>
  <w:style w:type="numbering" w:customStyle="1" w:styleId="Estiloimportado16">
    <w:name w:val="Estilo importado 16"/>
    <w:rsid w:val="00B3777F"/>
    <w:pPr>
      <w:numPr>
        <w:numId w:val="21"/>
      </w:numPr>
    </w:pPr>
  </w:style>
  <w:style w:type="numbering" w:customStyle="1" w:styleId="Estiloimportado17">
    <w:name w:val="Estilo importado 17"/>
    <w:rsid w:val="00B3777F"/>
    <w:pPr>
      <w:numPr>
        <w:numId w:val="23"/>
      </w:numPr>
    </w:pPr>
  </w:style>
  <w:style w:type="numbering" w:customStyle="1" w:styleId="Estiloimportado18">
    <w:name w:val="Estilo importado 18"/>
    <w:rsid w:val="00B3777F"/>
    <w:pPr>
      <w:numPr>
        <w:numId w:val="25"/>
      </w:numPr>
    </w:pPr>
  </w:style>
  <w:style w:type="numbering" w:customStyle="1" w:styleId="Estiloimportado19">
    <w:name w:val="Estilo importado 19"/>
    <w:rsid w:val="00B3777F"/>
    <w:pPr>
      <w:numPr>
        <w:numId w:val="27"/>
      </w:numPr>
    </w:pPr>
  </w:style>
  <w:style w:type="numbering" w:customStyle="1" w:styleId="Estiloimportado20">
    <w:name w:val="Estilo importado 20"/>
    <w:rsid w:val="00B3777F"/>
    <w:pPr>
      <w:numPr>
        <w:numId w:val="29"/>
      </w:numPr>
    </w:pPr>
  </w:style>
  <w:style w:type="numbering" w:customStyle="1" w:styleId="Estiloimportado21">
    <w:name w:val="Estilo importado 21"/>
    <w:rsid w:val="00B3777F"/>
    <w:pPr>
      <w:numPr>
        <w:numId w:val="31"/>
      </w:numPr>
    </w:pPr>
  </w:style>
  <w:style w:type="numbering" w:customStyle="1" w:styleId="Estiloimportado22">
    <w:name w:val="Estilo importado 22"/>
    <w:rsid w:val="00B3777F"/>
    <w:pPr>
      <w:numPr>
        <w:numId w:val="33"/>
      </w:numPr>
    </w:pPr>
  </w:style>
  <w:style w:type="numbering" w:customStyle="1" w:styleId="Estiloimportado23">
    <w:name w:val="Estilo importado 23"/>
    <w:rsid w:val="00B3777F"/>
    <w:pPr>
      <w:numPr>
        <w:numId w:val="35"/>
      </w:numPr>
    </w:pPr>
  </w:style>
  <w:style w:type="numbering" w:customStyle="1" w:styleId="Estiloimportado24">
    <w:name w:val="Estilo importado 24"/>
    <w:rsid w:val="00B3777F"/>
    <w:pPr>
      <w:numPr>
        <w:numId w:val="37"/>
      </w:numPr>
    </w:pPr>
  </w:style>
  <w:style w:type="numbering" w:customStyle="1" w:styleId="Estiloimportado25">
    <w:name w:val="Estilo importado 25"/>
    <w:rsid w:val="00B3777F"/>
    <w:pPr>
      <w:numPr>
        <w:numId w:val="39"/>
      </w:numPr>
    </w:pPr>
  </w:style>
  <w:style w:type="numbering" w:customStyle="1" w:styleId="Estiloimportado26">
    <w:name w:val="Estilo importado 26"/>
    <w:rsid w:val="00B3777F"/>
    <w:pPr>
      <w:numPr>
        <w:numId w:val="41"/>
      </w:numPr>
    </w:pPr>
  </w:style>
  <w:style w:type="numbering" w:customStyle="1" w:styleId="Estiloimportado27">
    <w:name w:val="Estilo importado 27"/>
    <w:rsid w:val="00B3777F"/>
    <w:pPr>
      <w:numPr>
        <w:numId w:val="43"/>
      </w:numPr>
    </w:pPr>
  </w:style>
  <w:style w:type="numbering" w:customStyle="1" w:styleId="Estiloimportado28">
    <w:name w:val="Estilo importado 28"/>
    <w:rsid w:val="00B3777F"/>
    <w:pPr>
      <w:numPr>
        <w:numId w:val="45"/>
      </w:numPr>
    </w:pPr>
  </w:style>
  <w:style w:type="numbering" w:customStyle="1" w:styleId="Estiloimportado29">
    <w:name w:val="Estilo importado 29"/>
    <w:rsid w:val="00B3777F"/>
    <w:pPr>
      <w:numPr>
        <w:numId w:val="47"/>
      </w:numPr>
    </w:pPr>
  </w:style>
  <w:style w:type="numbering" w:customStyle="1" w:styleId="Estiloimportado30">
    <w:name w:val="Estilo importado 30"/>
    <w:rsid w:val="00B3777F"/>
    <w:pPr>
      <w:numPr>
        <w:numId w:val="49"/>
      </w:numPr>
    </w:pPr>
  </w:style>
  <w:style w:type="numbering" w:customStyle="1" w:styleId="Estiloimportado31">
    <w:name w:val="Estilo importado 31"/>
    <w:rsid w:val="00B3777F"/>
    <w:pPr>
      <w:numPr>
        <w:numId w:val="51"/>
      </w:numPr>
    </w:pPr>
  </w:style>
  <w:style w:type="numbering" w:customStyle="1" w:styleId="Estiloimportado32">
    <w:name w:val="Estilo importado 32"/>
    <w:rsid w:val="00B3777F"/>
    <w:pPr>
      <w:numPr>
        <w:numId w:val="53"/>
      </w:numPr>
    </w:pPr>
  </w:style>
  <w:style w:type="numbering" w:customStyle="1" w:styleId="Estiloimportado33">
    <w:name w:val="Estilo importado 33"/>
    <w:rsid w:val="00B3777F"/>
    <w:pPr>
      <w:numPr>
        <w:numId w:val="55"/>
      </w:numPr>
    </w:pPr>
  </w:style>
  <w:style w:type="numbering" w:customStyle="1" w:styleId="Estiloimportado34">
    <w:name w:val="Estilo importado 34"/>
    <w:rsid w:val="00B3777F"/>
    <w:pPr>
      <w:numPr>
        <w:numId w:val="57"/>
      </w:numPr>
    </w:pPr>
  </w:style>
  <w:style w:type="numbering" w:customStyle="1" w:styleId="Estiloimportado35">
    <w:name w:val="Estilo importado 35"/>
    <w:rsid w:val="00B3777F"/>
    <w:pPr>
      <w:numPr>
        <w:numId w:val="59"/>
      </w:numPr>
    </w:pPr>
  </w:style>
  <w:style w:type="numbering" w:customStyle="1" w:styleId="Estiloimportado36">
    <w:name w:val="Estilo importado 36"/>
    <w:rsid w:val="00B3777F"/>
    <w:pPr>
      <w:numPr>
        <w:numId w:val="61"/>
      </w:numPr>
    </w:pPr>
  </w:style>
  <w:style w:type="numbering" w:customStyle="1" w:styleId="Estiloimportado37">
    <w:name w:val="Estilo importado 37"/>
    <w:rsid w:val="00B3777F"/>
    <w:pPr>
      <w:numPr>
        <w:numId w:val="63"/>
      </w:numPr>
    </w:pPr>
  </w:style>
  <w:style w:type="numbering" w:customStyle="1" w:styleId="Estiloimportado38">
    <w:name w:val="Estilo importado 38"/>
    <w:rsid w:val="00B3777F"/>
    <w:pPr>
      <w:numPr>
        <w:numId w:val="65"/>
      </w:numPr>
    </w:pPr>
  </w:style>
  <w:style w:type="numbering" w:customStyle="1" w:styleId="Estiloimportado39">
    <w:name w:val="Estilo importado 39"/>
    <w:rsid w:val="00B3777F"/>
    <w:pPr>
      <w:numPr>
        <w:numId w:val="67"/>
      </w:numPr>
    </w:pPr>
  </w:style>
  <w:style w:type="numbering" w:customStyle="1" w:styleId="Estiloimportado40">
    <w:name w:val="Estilo importado 40"/>
    <w:rsid w:val="00B3777F"/>
    <w:pPr>
      <w:numPr>
        <w:numId w:val="69"/>
      </w:numPr>
    </w:pPr>
  </w:style>
  <w:style w:type="numbering" w:customStyle="1" w:styleId="Estiloimportado41">
    <w:name w:val="Estilo importado 41"/>
    <w:rsid w:val="00B3777F"/>
    <w:pPr>
      <w:numPr>
        <w:numId w:val="71"/>
      </w:numPr>
    </w:pPr>
  </w:style>
  <w:style w:type="numbering" w:customStyle="1" w:styleId="Estiloimportado42">
    <w:name w:val="Estilo importado 42"/>
    <w:rsid w:val="00B3777F"/>
    <w:pPr>
      <w:numPr>
        <w:numId w:val="73"/>
      </w:numPr>
    </w:pPr>
  </w:style>
  <w:style w:type="numbering" w:customStyle="1" w:styleId="Estiloimportado43">
    <w:name w:val="Estilo importado 43"/>
    <w:rsid w:val="00B3777F"/>
    <w:pPr>
      <w:numPr>
        <w:numId w:val="75"/>
      </w:numPr>
    </w:pPr>
  </w:style>
  <w:style w:type="numbering" w:customStyle="1" w:styleId="Estiloimportado44">
    <w:name w:val="Estilo importado 44"/>
    <w:rsid w:val="00B3777F"/>
    <w:pPr>
      <w:numPr>
        <w:numId w:val="77"/>
      </w:numPr>
    </w:pPr>
  </w:style>
  <w:style w:type="numbering" w:customStyle="1" w:styleId="Estiloimportado45">
    <w:name w:val="Estilo importado 45"/>
    <w:rsid w:val="00B3777F"/>
    <w:pPr>
      <w:numPr>
        <w:numId w:val="79"/>
      </w:numPr>
    </w:pPr>
  </w:style>
  <w:style w:type="numbering" w:customStyle="1" w:styleId="Estiloimportado46">
    <w:name w:val="Estilo importado 46"/>
    <w:rsid w:val="00B3777F"/>
    <w:pPr>
      <w:numPr>
        <w:numId w:val="81"/>
      </w:numPr>
    </w:pPr>
  </w:style>
  <w:style w:type="numbering" w:customStyle="1" w:styleId="Estiloimportado47">
    <w:name w:val="Estilo importado 47"/>
    <w:rsid w:val="00B3777F"/>
    <w:pPr>
      <w:numPr>
        <w:numId w:val="83"/>
      </w:numPr>
    </w:pPr>
  </w:style>
  <w:style w:type="numbering" w:customStyle="1" w:styleId="Estiloimportado48">
    <w:name w:val="Estilo importado 48"/>
    <w:rsid w:val="00B3777F"/>
    <w:pPr>
      <w:numPr>
        <w:numId w:val="85"/>
      </w:numPr>
    </w:pPr>
  </w:style>
  <w:style w:type="numbering" w:customStyle="1" w:styleId="Estiloimportado49">
    <w:name w:val="Estilo importado 49"/>
    <w:rsid w:val="00B3777F"/>
    <w:pPr>
      <w:numPr>
        <w:numId w:val="88"/>
      </w:numPr>
    </w:pPr>
  </w:style>
  <w:style w:type="numbering" w:customStyle="1" w:styleId="Estiloimportado50">
    <w:name w:val="Estilo importado 50"/>
    <w:rsid w:val="00B3777F"/>
    <w:pPr>
      <w:numPr>
        <w:numId w:val="90"/>
      </w:numPr>
    </w:pPr>
  </w:style>
  <w:style w:type="numbering" w:customStyle="1" w:styleId="Estiloimportado51">
    <w:name w:val="Estilo importado 51"/>
    <w:rsid w:val="00B3777F"/>
    <w:pPr>
      <w:numPr>
        <w:numId w:val="92"/>
      </w:numPr>
    </w:pPr>
  </w:style>
  <w:style w:type="numbering" w:customStyle="1" w:styleId="Estiloimportado52">
    <w:name w:val="Estilo importado 52"/>
    <w:rsid w:val="00B3777F"/>
    <w:pPr>
      <w:numPr>
        <w:numId w:val="94"/>
      </w:numPr>
    </w:pPr>
  </w:style>
  <w:style w:type="numbering" w:customStyle="1" w:styleId="Estiloimportado53">
    <w:name w:val="Estilo importado 53"/>
    <w:rsid w:val="00B3777F"/>
    <w:pPr>
      <w:numPr>
        <w:numId w:val="96"/>
      </w:numPr>
    </w:pPr>
  </w:style>
  <w:style w:type="numbering" w:customStyle="1" w:styleId="Estiloimportado54">
    <w:name w:val="Estilo importado 54"/>
    <w:rsid w:val="00B3777F"/>
    <w:pPr>
      <w:numPr>
        <w:numId w:val="98"/>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C4B8-45EB-4B30-BD16-3FEF82EB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2660</Words>
  <Characters>14634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10</cp:revision>
  <cp:lastPrinted>2020-04-22T18:33:00Z</cp:lastPrinted>
  <dcterms:created xsi:type="dcterms:W3CDTF">2021-09-22T21:10:00Z</dcterms:created>
  <dcterms:modified xsi:type="dcterms:W3CDTF">2021-09-29T20:04:00Z</dcterms:modified>
</cp:coreProperties>
</file>